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5B9BD5" w:themeColor="accent1"/>
          <w:kern w:val="2"/>
          <w:sz w:val="21"/>
          <w14:textFill>
            <w14:solidFill>
              <w14:schemeClr w14:val="accent1"/>
            </w14:solidFill>
          </w14:textFill>
        </w:rPr>
        <w:id w:val="-922958711"/>
        <w:docPartObj>
          <w:docPartGallery w:val="AutoText"/>
        </w:docPartObj>
      </w:sdtPr>
      <w:sdtEndPr>
        <w:rPr>
          <w:rFonts w:ascii="Times New Roman" w:hAnsi="Times New Roman" w:cs="Times New Roman"/>
          <w:color w:val="auto"/>
          <w:kern w:val="2"/>
          <w:sz w:val="32"/>
        </w:rPr>
      </w:sdtEndPr>
      <w:sdtContent>
        <w:p>
          <w:pPr>
            <w:pStyle w:val="16"/>
            <w:spacing w:before="1540" w:after="240"/>
            <w:rPr>
              <w:color w:val="5B9BD5" w:themeColor="accent1"/>
              <w14:textFill>
                <w14:solidFill>
                  <w14:schemeClr w14:val="accent1"/>
                </w14:solidFill>
              </w14:textFill>
            </w:rPr>
          </w:pPr>
        </w:p>
        <w:sdt>
          <w:sdtPr>
            <w:rPr>
              <w:rFonts w:asciiTheme="majorHAnsi" w:hAnsiTheme="majorHAnsi" w:eastAsiaTheme="majorEastAsia" w:cstheme="majorBidi"/>
              <w:caps/>
              <w:sz w:val="72"/>
              <w:szCs w:val="72"/>
            </w:rPr>
            <w:alias w:val="标题"/>
            <w:id w:val="1735040861"/>
            <w:placeholder>
              <w:docPart w:val="19E72267C0D84A07B317EE276B27C2EC"/>
            </w:placeholder>
            <w15: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eastAsiaTheme="majorEastAsia" w:cstheme="majorBidi"/>
              <w:caps/>
              <w:sz w:val="72"/>
              <w:szCs w:val="72"/>
            </w:rPr>
          </w:sdtEndPr>
          <w:sdtContent>
            <w:p>
              <w:pPr>
                <w:pStyle w:val="16"/>
                <w:pBdr>
                  <w:top w:val="single" w:color="5B9BD5" w:themeColor="accent1" w:sz="6" w:space="6"/>
                  <w:bottom w:val="single" w:color="5B9BD5" w:themeColor="accent1" w:sz="6" w:space="6"/>
                </w:pBdr>
                <w:spacing w:after="240"/>
                <w:jc w:val="center"/>
                <w:rPr>
                  <w:rFonts w:asciiTheme="majorHAnsi" w:hAnsiTheme="majorHAnsi" w:eastAsiaTheme="majorEastAsia" w:cstheme="majorBidi"/>
                  <w:caps/>
                  <w:color w:val="5B9BD5" w:themeColor="accent1"/>
                  <w:sz w:val="80"/>
                  <w:szCs w:val="80"/>
                  <w14:textFill>
                    <w14:solidFill>
                      <w14:schemeClr w14:val="accent1"/>
                    </w14:solidFill>
                  </w14:textFill>
                </w:rPr>
              </w:pPr>
              <w:r>
                <w:rPr>
                  <w:rFonts w:asciiTheme="majorHAnsi" w:hAnsiTheme="majorHAnsi" w:eastAsiaTheme="majorEastAsia" w:cstheme="majorBidi"/>
                  <w:caps/>
                  <w:sz w:val="72"/>
                  <w:szCs w:val="72"/>
                </w:rPr>
                <w:t>2019 MASTER STUDENT ACDEMIC GUIDELINE</w:t>
              </w:r>
            </w:p>
          </w:sdtContent>
        </w:sdt>
        <w:sdt>
          <w:sdtPr>
            <w:rPr>
              <w:sz w:val="28"/>
              <w:szCs w:val="28"/>
            </w:rPr>
            <w:alias w:val="副标题"/>
            <w:id w:val="328029620"/>
            <w:placeholder>
              <w:docPart w:val="C61BE43958D246FFB1A24C4480118B2A"/>
            </w:placeholder>
            <w15:dataBinding w:prefixMappings="xmlns:ns0='http://purl.org/dc/elements/1.1/' xmlns:ns1='http://schemas.openxmlformats.org/package/2006/metadata/core-properties' " w:xpath="/ns1:coreProperties[1]/ns0:subject[1]" w:storeItemID="{6C3C8BC8-F283-45AE-878A-BAB7291924A1}"/>
            <w:text/>
          </w:sdtPr>
          <w:sdtEndPr>
            <w:rPr>
              <w:sz w:val="28"/>
              <w:szCs w:val="28"/>
            </w:rPr>
          </w:sdtEndPr>
          <w:sdtContent>
            <w:p>
              <w:pPr>
                <w:pStyle w:val="16"/>
                <w:jc w:val="center"/>
                <w:rPr>
                  <w:sz w:val="28"/>
                  <w:szCs w:val="28"/>
                </w:rPr>
              </w:pPr>
              <w:r>
                <w:rPr>
                  <w:sz w:val="28"/>
                  <w:szCs w:val="28"/>
                </w:rPr>
                <w:t>Power Engineering (Low Carbon Energy)</w:t>
              </w:r>
            </w:p>
          </w:sdtContent>
        </w:sdt>
        <w:p>
          <w:pPr>
            <w:pStyle w:val="16"/>
            <w:spacing w:before="480"/>
            <w:jc w:val="center"/>
            <w:rPr>
              <w:color w:val="5B9BD5" w:themeColor="accent1"/>
              <w14:textFill>
                <w14:solidFill>
                  <w14:schemeClr w14:val="accent1"/>
                </w14:solidFill>
              </w14:textFill>
            </w:rPr>
          </w:pPr>
        </w:p>
        <w:p>
          <w:pPr>
            <w:widowControl/>
            <w:jc w:val="left"/>
            <w:rPr>
              <w:rFonts w:ascii="Times New Roman" w:hAnsi="Times New Roman" w:cs="Times New Roman"/>
              <w:sz w:val="32"/>
            </w:rPr>
          </w:pPr>
          <w:r>
            <w:rPr>
              <w:rFonts w:ascii="Times New Roman" w:hAnsi="Times New Roman" w:cs="Times New Roman"/>
              <w:sz w:val="32"/>
            </w:rPr>
            <w:br w:type="page"/>
          </w:r>
        </w:p>
        <w:sdt>
          <w:sdtPr>
            <w:rPr>
              <w:rFonts w:asciiTheme="minorHAnsi" w:hAnsiTheme="minorHAnsi" w:eastAsiaTheme="minorEastAsia" w:cstheme="minorBidi"/>
              <w:color w:val="auto"/>
              <w:kern w:val="2"/>
              <w:sz w:val="21"/>
              <w:szCs w:val="22"/>
              <w:lang w:val="zh-CN"/>
            </w:rPr>
            <w:id w:val="-341234923"/>
            <w:docPartObj>
              <w:docPartGallery w:val="Table of Contents"/>
              <w:docPartUnique/>
            </w:docPartObj>
          </w:sdtPr>
          <w:sdtEndPr>
            <w:rPr>
              <w:rFonts w:asciiTheme="minorHAnsi" w:hAnsiTheme="minorHAnsi" w:eastAsiaTheme="minorEastAsia" w:cstheme="minorBidi"/>
              <w:b/>
              <w:bCs/>
              <w:color w:val="auto"/>
              <w:kern w:val="2"/>
              <w:sz w:val="24"/>
              <w:szCs w:val="22"/>
              <w:lang w:val="zh-CN"/>
            </w:rPr>
          </w:sdtEndPr>
          <w:sdtContent>
            <w:p>
              <w:pPr>
                <w:pStyle w:val="20"/>
                <w:tabs>
                  <w:tab w:val="left" w:pos="1915"/>
                </w:tabs>
                <w:rPr>
                  <w:rFonts w:ascii="Times New Roman" w:hAnsi="Times New Roman" w:cs="Times New Roman"/>
                  <w:b/>
                  <w:sz w:val="40"/>
                  <w:szCs w:val="40"/>
                </w:rPr>
              </w:pPr>
              <w:r>
                <w:rPr>
                  <w:rFonts w:ascii="Times New Roman" w:hAnsi="Times New Roman" w:cs="Times New Roman"/>
                  <w:b/>
                  <w:sz w:val="40"/>
                  <w:szCs w:val="40"/>
                  <w:lang w:val="zh-CN"/>
                </w:rPr>
                <w:t>Content</w:t>
              </w:r>
              <w:r>
                <w:rPr>
                  <w:rFonts w:ascii="Times New Roman" w:hAnsi="Times New Roman" w:cs="Times New Roman"/>
                  <w:b/>
                  <w:sz w:val="40"/>
                  <w:szCs w:val="40"/>
                  <w:lang w:val="zh-CN"/>
                </w:rPr>
                <w:tab/>
              </w:r>
            </w:p>
            <w:p>
              <w:pPr>
                <w:pStyle w:val="6"/>
                <w:tabs>
                  <w:tab w:val="right" w:leader="dot" w:pos="8296"/>
                </w:tabs>
                <w:rPr>
                  <w:rFonts w:ascii="Times New Roman" w:hAnsi="Times New Roman" w:cs="Times New Roman"/>
                  <w:sz w:val="28"/>
                </w:rPr>
              </w:pPr>
              <w:r>
                <w:rPr>
                  <w:b/>
                  <w:bCs/>
                  <w:sz w:val="24"/>
                  <w:lang w:val="zh-CN"/>
                </w:rPr>
                <w:fldChar w:fldCharType="begin"/>
              </w:r>
              <w:r>
                <w:rPr>
                  <w:b/>
                  <w:bCs/>
                  <w:sz w:val="24"/>
                  <w:lang w:val="zh-CN"/>
                </w:rPr>
                <w:instrText xml:space="preserve"> TOC \o "1-3" \h \z \u </w:instrText>
              </w:r>
              <w:r>
                <w:rPr>
                  <w:b/>
                  <w:bCs/>
                  <w:sz w:val="24"/>
                  <w:lang w:val="zh-CN"/>
                </w:rPr>
                <w:fldChar w:fldCharType="separate"/>
              </w:r>
              <w:r>
                <w:fldChar w:fldCharType="begin"/>
              </w:r>
              <w:r>
                <w:instrText xml:space="preserve"> HYPERLINK \l "_Toc522033840" </w:instrText>
              </w:r>
              <w:r>
                <w:fldChar w:fldCharType="separate"/>
              </w:r>
              <w:r>
                <w:rPr>
                  <w:rStyle w:val="11"/>
                  <w:rFonts w:ascii="Times New Roman" w:hAnsi="Times New Roman"/>
                  <w:sz w:val="28"/>
                </w:rPr>
                <w:t>Welcome to China-UK Low Carbon College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_Toc522033840 \h </w:instrText>
              </w:r>
              <w:r>
                <w:rPr>
                  <w:rFonts w:ascii="Times New Roman" w:hAnsi="Times New Roman" w:cs="Times New Roman"/>
                  <w:sz w:val="28"/>
                </w:rPr>
                <w:fldChar w:fldCharType="separate"/>
              </w:r>
              <w:r>
                <w:rPr>
                  <w:rFonts w:ascii="Times New Roman" w:hAnsi="Times New Roman" w:cs="Times New Roman"/>
                  <w:sz w:val="28"/>
                </w:rPr>
                <w:t>2</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"_Toc522033841" </w:instrText>
              </w:r>
              <w:r>
                <w:fldChar w:fldCharType="separate"/>
              </w:r>
              <w:r>
                <w:rPr>
                  <w:rStyle w:val="11"/>
                  <w:rFonts w:ascii="Times New Roman" w:hAnsi="Times New Roman"/>
                  <w:sz w:val="28"/>
                </w:rPr>
                <w:t>Welcome to Join Us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_Toc522033841 \h </w:instrText>
              </w:r>
              <w:r>
                <w:rPr>
                  <w:rFonts w:ascii="Times New Roman" w:hAnsi="Times New Roman" w:cs="Times New Roman"/>
                  <w:sz w:val="28"/>
                </w:rPr>
                <w:fldChar w:fldCharType="separate"/>
              </w:r>
              <w:r>
                <w:rPr>
                  <w:rFonts w:ascii="Times New Roman" w:hAnsi="Times New Roman" w:cs="Times New Roman"/>
                  <w:sz w:val="28"/>
                </w:rPr>
                <w:t>3</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"_Toc522033842" </w:instrText>
              </w:r>
              <w:r>
                <w:fldChar w:fldCharType="separate"/>
              </w:r>
              <w:r>
                <w:rPr>
                  <w:rStyle w:val="11"/>
                  <w:rFonts w:ascii="Times New Roman" w:hAnsi="Times New Roman"/>
                  <w:sz w:val="28"/>
                </w:rPr>
                <w:t>Programme Overview</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_Toc522033842 \h </w:instrText>
              </w:r>
              <w:r>
                <w:rPr>
                  <w:rFonts w:ascii="Times New Roman" w:hAnsi="Times New Roman" w:cs="Times New Roman"/>
                  <w:sz w:val="28"/>
                </w:rPr>
                <w:fldChar w:fldCharType="separate"/>
              </w:r>
              <w:r>
                <w:rPr>
                  <w:rFonts w:ascii="Times New Roman" w:hAnsi="Times New Roman" w:cs="Times New Roman"/>
                  <w:sz w:val="28"/>
                </w:rPr>
                <w:t>4</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"_Toc522033844" </w:instrText>
              </w:r>
              <w:r>
                <w:fldChar w:fldCharType="separate"/>
              </w:r>
              <w:r>
                <w:rPr>
                  <w:rStyle w:val="11"/>
                  <w:rFonts w:ascii="Times New Roman" w:hAnsi="Times New Roman"/>
                  <w:sz w:val="28"/>
                </w:rPr>
                <w:t>Programme Duration</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_Toc522033844 \h </w:instrText>
              </w:r>
              <w:r>
                <w:rPr>
                  <w:rFonts w:ascii="Times New Roman" w:hAnsi="Times New Roman" w:cs="Times New Roman"/>
                  <w:sz w:val="28"/>
                </w:rPr>
                <w:fldChar w:fldCharType="separate"/>
              </w:r>
              <w:r>
                <w:rPr>
                  <w:rFonts w:ascii="Times New Roman" w:hAnsi="Times New Roman" w:cs="Times New Roman"/>
                  <w:sz w:val="28"/>
                </w:rPr>
                <w:t>5</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"_Toc522033845" </w:instrText>
              </w:r>
              <w:r>
                <w:fldChar w:fldCharType="separate"/>
              </w:r>
              <w:r>
                <w:rPr>
                  <w:rStyle w:val="11"/>
                  <w:rFonts w:ascii="Times New Roman" w:hAnsi="Times New Roman"/>
                  <w:sz w:val="28"/>
                </w:rPr>
                <w:t>Degree Requirements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_Toc522033845 \h </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"_Toc522033846" </w:instrText>
              </w:r>
              <w:r>
                <w:fldChar w:fldCharType="separate"/>
              </w:r>
              <w:r>
                <w:rPr>
                  <w:rStyle w:val="11"/>
                  <w:rFonts w:ascii="Times New Roman" w:hAnsi="Times New Roman"/>
                  <w:sz w:val="28"/>
                </w:rPr>
                <w:t>Degree and Diploma</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_Toc522033846 \h </w:instrText>
              </w:r>
              <w:r>
                <w:rPr>
                  <w:rFonts w:ascii="Times New Roman" w:hAnsi="Times New Roman" w:cs="Times New Roman"/>
                  <w:sz w:val="28"/>
                </w:rPr>
                <w:fldChar w:fldCharType="separate"/>
              </w:r>
              <w:r>
                <w:rPr>
                  <w:rFonts w:ascii="Times New Roman" w:hAnsi="Times New Roman" w:cs="Times New Roman"/>
                  <w:sz w:val="28"/>
                </w:rPr>
                <w:t>7</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"_Toc522033847" </w:instrText>
              </w:r>
              <w:r>
                <w:fldChar w:fldCharType="separate"/>
              </w:r>
              <w:r>
                <w:rPr>
                  <w:rStyle w:val="11"/>
                  <w:rFonts w:ascii="Times New Roman" w:hAnsi="Times New Roman"/>
                  <w:sz w:val="28"/>
                </w:rPr>
                <w:t>Curriculum</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_Toc522033847 \h </w:instrText>
              </w:r>
              <w:r>
                <w:rPr>
                  <w:rFonts w:ascii="Times New Roman" w:hAnsi="Times New Roman" w:cs="Times New Roman"/>
                  <w:sz w:val="28"/>
                </w:rPr>
                <w:fldChar w:fldCharType="separate"/>
              </w:r>
              <w:r>
                <w:rPr>
                  <w:rFonts w:ascii="Times New Roman" w:hAnsi="Times New Roman" w:cs="Times New Roman"/>
                  <w:sz w:val="28"/>
                </w:rPr>
                <w:t>7</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"_Toc522033848" </w:instrText>
              </w:r>
              <w:r>
                <w:fldChar w:fldCharType="separate"/>
              </w:r>
              <w:r>
                <w:rPr>
                  <w:rStyle w:val="11"/>
                  <w:rFonts w:ascii="Times New Roman" w:hAnsi="Times New Roman"/>
                  <w:sz w:val="28"/>
                  <w:lang w:val="en-GB"/>
                </w:rPr>
                <w:t>Course Assessment and Retaking</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_Toc522033848 \h </w:instrText>
              </w:r>
              <w:r>
                <w:rPr>
                  <w:rFonts w:ascii="Times New Roman" w:hAnsi="Times New Roman" w:cs="Times New Roman"/>
                  <w:sz w:val="28"/>
                </w:rPr>
                <w:fldChar w:fldCharType="separate"/>
              </w:r>
              <w:r>
                <w:rPr>
                  <w:rFonts w:ascii="Times New Roman" w:hAnsi="Times New Roman" w:cs="Times New Roman"/>
                  <w:sz w:val="28"/>
                </w:rPr>
                <w:t>9</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"_Toc522033849" </w:instrText>
              </w:r>
              <w:r>
                <w:fldChar w:fldCharType="separate"/>
              </w:r>
              <w:r>
                <w:rPr>
                  <w:rStyle w:val="11"/>
                  <w:rFonts w:ascii="Times New Roman" w:hAnsi="Times New Roman"/>
                  <w:sz w:val="28"/>
                  <w:lang w:val="en-GB"/>
                </w:rPr>
                <w:t>Double-master Programme</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_Toc522033849 \h </w:instrText>
              </w:r>
              <w:r>
                <w:rPr>
                  <w:rFonts w:ascii="Times New Roman" w:hAnsi="Times New Roman" w:cs="Times New Roman"/>
                  <w:sz w:val="28"/>
                </w:rPr>
                <w:fldChar w:fldCharType="separate"/>
              </w:r>
              <w:r>
                <w:rPr>
                  <w:rFonts w:ascii="Times New Roman" w:hAnsi="Times New Roman" w:cs="Times New Roman"/>
                  <w:sz w:val="28"/>
                </w:rPr>
                <w:t>10</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"_Toc522033850" </w:instrText>
              </w:r>
              <w:r>
                <w:fldChar w:fldCharType="separate"/>
              </w:r>
              <w:r>
                <w:rPr>
                  <w:rStyle w:val="11"/>
                  <w:rFonts w:ascii="Times New Roman" w:hAnsi="Times New Roman"/>
                  <w:sz w:val="28"/>
                  <w:lang w:val="en-GB"/>
                </w:rPr>
                <w:t>Process Management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_Toc522033850 \h </w:instrText>
              </w:r>
              <w:r>
                <w:rPr>
                  <w:rFonts w:ascii="Times New Roman" w:hAnsi="Times New Roman" w:cs="Times New Roman"/>
                  <w:sz w:val="28"/>
                </w:rPr>
                <w:fldChar w:fldCharType="separate"/>
              </w:r>
              <w:r>
                <w:rPr>
                  <w:rFonts w:ascii="Times New Roman" w:hAnsi="Times New Roman" w:cs="Times New Roman"/>
                  <w:sz w:val="28"/>
                </w:rPr>
                <w:t>12</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"_Toc522033851" </w:instrText>
              </w:r>
              <w:r>
                <w:fldChar w:fldCharType="separate"/>
              </w:r>
              <w:r>
                <w:rPr>
                  <w:rStyle w:val="11"/>
                  <w:rFonts w:ascii="Times New Roman" w:hAnsi="Times New Roman"/>
                  <w:sz w:val="28"/>
                  <w:lang w:val="en-GB"/>
                </w:rPr>
                <w:t>Important Academic Events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_Toc522033851 \h </w:instrText>
              </w:r>
              <w:r>
                <w:rPr>
                  <w:rFonts w:ascii="Times New Roman" w:hAnsi="Times New Roman" w:cs="Times New Roman"/>
                  <w:sz w:val="28"/>
                </w:rPr>
                <w:fldChar w:fldCharType="separate"/>
              </w:r>
              <w:r>
                <w:rPr>
                  <w:rFonts w:ascii="Times New Roman" w:hAnsi="Times New Roman" w:cs="Times New Roman"/>
                  <w:sz w:val="28"/>
                </w:rPr>
                <w:t>13</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"_Toc522033852" </w:instrText>
              </w:r>
              <w:r>
                <w:fldChar w:fldCharType="separate"/>
              </w:r>
              <w:r>
                <w:rPr>
                  <w:rStyle w:val="11"/>
                  <w:rFonts w:ascii="Times New Roman" w:hAnsi="Times New Roman"/>
                  <w:sz w:val="28"/>
                  <w:lang w:val="en-GB"/>
                </w:rPr>
                <w:t>Useful Websites</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_Toc522033852 \h </w:instrText>
              </w:r>
              <w:r>
                <w:rPr>
                  <w:rFonts w:ascii="Times New Roman" w:hAnsi="Times New Roman" w:cs="Times New Roman"/>
                  <w:sz w:val="28"/>
                </w:rPr>
                <w:fldChar w:fldCharType="separate"/>
              </w:r>
              <w:r>
                <w:rPr>
                  <w:rFonts w:ascii="Times New Roman" w:hAnsi="Times New Roman" w:cs="Times New Roman"/>
                  <w:sz w:val="28"/>
                </w:rPr>
                <w:t>18</w:t>
              </w:r>
              <w:r>
                <w:rPr>
                  <w:rFonts w:ascii="Times New Roman" w:hAnsi="Times New Roman" w:cs="Times New Roman"/>
                  <w:sz w:val="28"/>
                </w:rPr>
                <w:fldChar w:fldCharType="end"/>
              </w:r>
              <w:r>
                <w:rPr>
                  <w:rFonts w:ascii="Times New Roman" w:hAnsi="Times New Roman" w:cs="Times New Roman"/>
                  <w:sz w:val="28"/>
                </w:rPr>
                <w:fldChar w:fldCharType="end"/>
              </w:r>
            </w:p>
            <w:p>
              <w:pPr>
                <w:pStyle w:val="6"/>
                <w:tabs>
                  <w:tab w:val="right" w:leader="dot" w:pos="8296"/>
                </w:tabs>
                <w:rPr>
                  <w:rFonts w:ascii="Times New Roman" w:hAnsi="Times New Roman" w:cs="Times New Roman"/>
                  <w:sz w:val="28"/>
                </w:rPr>
              </w:pPr>
              <w:r>
                <w:fldChar w:fldCharType="begin"/>
              </w:r>
              <w:r>
                <w:instrText xml:space="preserve"> HYPERLINK \l "_Toc522033853" </w:instrText>
              </w:r>
              <w:r>
                <w:fldChar w:fldCharType="separate"/>
              </w:r>
              <w:r>
                <w:rPr>
                  <w:rStyle w:val="11"/>
                  <w:rFonts w:ascii="Times New Roman" w:hAnsi="Times New Roman"/>
                  <w:sz w:val="28"/>
                  <w:lang w:val="en-GB"/>
                </w:rPr>
                <w:t>Contact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_Toc522033853 \h </w:instrText>
              </w:r>
              <w:r>
                <w:rPr>
                  <w:rFonts w:ascii="Times New Roman" w:hAnsi="Times New Roman" w:cs="Times New Roman"/>
                  <w:sz w:val="28"/>
                </w:rPr>
                <w:fldChar w:fldCharType="separate"/>
              </w:r>
              <w:r>
                <w:rPr>
                  <w:rFonts w:ascii="Times New Roman" w:hAnsi="Times New Roman" w:cs="Times New Roman"/>
                  <w:sz w:val="28"/>
                </w:rPr>
                <w:t>18</w:t>
              </w:r>
              <w:r>
                <w:rPr>
                  <w:rFonts w:ascii="Times New Roman" w:hAnsi="Times New Roman" w:cs="Times New Roman"/>
                  <w:sz w:val="28"/>
                </w:rPr>
                <w:fldChar w:fldCharType="end"/>
              </w:r>
              <w:r>
                <w:rPr>
                  <w:rFonts w:ascii="Times New Roman" w:hAnsi="Times New Roman" w:cs="Times New Roman"/>
                  <w:sz w:val="28"/>
                </w:rPr>
                <w:fldChar w:fldCharType="end"/>
              </w:r>
            </w:p>
            <w:p>
              <w:pPr>
                <w:rPr>
                  <w:sz w:val="24"/>
                </w:rPr>
              </w:pPr>
              <w:r>
                <w:rPr>
                  <w:b/>
                  <w:bCs/>
                  <w:sz w:val="24"/>
                  <w:lang w:val="zh-CN"/>
                </w:rPr>
                <w:fldChar w:fldCharType="end"/>
              </w:r>
            </w:p>
          </w:sdtContent>
        </w:sdt>
        <w:p>
          <w:pPr>
            <w:widowControl/>
            <w:jc w:val="left"/>
            <w:rPr>
              <w:rFonts w:ascii="Times New Roman" w:hAnsi="Times New Roman" w:cs="Times New Roman"/>
              <w:sz w:val="32"/>
            </w:rPr>
          </w:pPr>
        </w:p>
        <w:p>
          <w:pPr>
            <w:widowControl/>
            <w:jc w:val="left"/>
            <w:rPr>
              <w:rFonts w:ascii="Times New Roman" w:hAnsi="Times New Roman" w:cs="Times New Roman"/>
              <w:sz w:val="32"/>
            </w:rPr>
          </w:pPr>
        </w:p>
        <w:p>
          <w:pPr>
            <w:widowControl/>
            <w:jc w:val="left"/>
            <w:rPr>
              <w:rFonts w:ascii="Times New Roman" w:hAnsi="Times New Roman" w:cs="Times New Roman"/>
              <w:sz w:val="32"/>
            </w:rPr>
          </w:pPr>
        </w:p>
        <w:p>
          <w:pPr>
            <w:widowControl/>
            <w:jc w:val="left"/>
            <w:rPr>
              <w:rFonts w:ascii="Times New Roman" w:hAnsi="Times New Roman" w:cs="Times New Roman"/>
              <w:sz w:val="32"/>
            </w:rPr>
          </w:pPr>
        </w:p>
        <w:p>
          <w:pPr>
            <w:widowControl/>
            <w:jc w:val="left"/>
            <w:rPr>
              <w:rFonts w:ascii="Times New Roman" w:hAnsi="Times New Roman" w:cs="Times New Roman"/>
              <w:sz w:val="32"/>
            </w:rPr>
          </w:pPr>
        </w:p>
        <w:p>
          <w:pPr>
            <w:widowControl/>
            <w:jc w:val="left"/>
            <w:rPr>
              <w:rFonts w:ascii="Times New Roman" w:hAnsi="Times New Roman" w:cs="Times New Roman"/>
              <w:b/>
              <w:bCs/>
              <w:kern w:val="44"/>
              <w:sz w:val="32"/>
              <w:szCs w:val="44"/>
            </w:rPr>
          </w:pPr>
        </w:p>
      </w:sdtContent>
    </w:sdt>
    <w:p>
      <w:pPr>
        <w:pStyle w:val="2"/>
        <w:rPr>
          <w:rFonts w:ascii="Times New Roman" w:hAnsi="Times New Roman" w:cs="Times New Roman"/>
          <w:sz w:val="32"/>
        </w:rPr>
      </w:pPr>
      <w:bookmarkStart w:id="0" w:name="_Toc522033840"/>
      <w:r>
        <w:rPr>
          <w:rFonts w:ascii="Times New Roman" w:hAnsi="Times New Roman" w:cs="Times New Roman"/>
          <w:sz w:val="32"/>
        </w:rPr>
        <w:t>Welcome to China-UK Low Carbon College</w:t>
      </w:r>
      <w:bookmarkEnd w:id="0"/>
    </w:p>
    <w:p>
      <w:pPr>
        <w:rPr>
          <w:rFonts w:ascii="Times New Roman" w:hAnsi="Times New Roman" w:cs="Times New Roman"/>
          <w:sz w:val="28"/>
        </w:rPr>
      </w:pPr>
      <w:r>
        <w:rPr>
          <w:rFonts w:ascii="Times New Roman" w:hAnsi="Times New Roman" w:cs="Times New Roman"/>
          <w:sz w:val="28"/>
        </w:rPr>
        <w:t>China-UK Low Carbon College was established in May, 2017, thanks to the joint efforts of Shanghai Jiao Tong University (SJTU), the University of Edinburgh (UoE) and other UK universities, as well as Shanghai and Lingang government. As the first domestic low carbon college (LCC), the LCC aims to become a world-class innovative higher education and research institution with international influence, which provides academic programs, executive training, scientific research and industrial incubation.</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Green low-carbon development is an inevitable choice for China and the rest of the world to deal with global warming, a challenge that the whole world is facing. The college will concentrate on green development strategy, and carry out teaching and research on low-carbon energy, low-carbon environment, carbon finance, carbon management and low-carbon city etc. The goal of the LCC is to serve as a cradle of talents for low carbon industries and to support the development of low carbon fields with cutting-edge technologies.</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With the support from people in all walks of life, we are determined to develop the college as a first-class, industry-oriented and discipline-based institution. We strongly welcome Chinese and international young professionals and students who are interested in low carbon fields to join our program.</w:t>
      </w:r>
    </w:p>
    <w:p>
      <w:pPr>
        <w:pStyle w:val="2"/>
        <w:rPr>
          <w:rFonts w:ascii="Times New Roman" w:hAnsi="Times New Roman" w:cs="Times New Roman"/>
          <w:sz w:val="32"/>
        </w:rPr>
      </w:pPr>
      <w:bookmarkStart w:id="1" w:name="_Toc522033841"/>
      <w:bookmarkStart w:id="2" w:name="_Toc366154054"/>
      <w:bookmarkStart w:id="3" w:name="_Toc429559558"/>
      <w:r>
        <w:rPr>
          <w:rFonts w:ascii="Times New Roman" w:hAnsi="Times New Roman" w:cs="Times New Roman"/>
          <w:sz w:val="32"/>
        </w:rPr>
        <w:t>Welcome to Join Us</w:t>
      </w:r>
      <w:bookmarkEnd w:id="1"/>
      <w:bookmarkEnd w:id="2"/>
      <w:bookmarkEnd w:id="3"/>
    </w:p>
    <w:p>
      <w:pPr>
        <w:rPr>
          <w:rFonts w:ascii="Times New Roman" w:hAnsi="Times New Roman" w:cs="Times New Roman"/>
          <w:sz w:val="28"/>
        </w:rPr>
      </w:pPr>
      <w:r>
        <w:rPr>
          <w:rFonts w:ascii="Times New Roman" w:hAnsi="Times New Roman" w:cs="Times New Roman"/>
          <w:sz w:val="28"/>
        </w:rPr>
        <w:t>You have chosen to enrich your academic knowledge and gain new experiences by studying in master program at LCC of SJTU. We are sure that you will have challenges as well as exciting opportunities during your stay at LCC.</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 xml:space="preserve">This guidebook is to provide you with the practical information that you will need at SJTU. It also provides you with contact information of related offices that you might find useful during your stay here. </w:t>
      </w:r>
    </w:p>
    <w:p>
      <w:pPr>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t>Welcome on board! We wish you the best of luck with your study, and hope that your experience at LCC will be very special, pleasant, and valuable!</w:t>
      </w:r>
    </w:p>
    <w:p>
      <w:pPr>
        <w:spacing w:line="360" w:lineRule="auto"/>
        <w:ind w:firstLine="450"/>
        <w:rPr>
          <w:rFonts w:ascii="Times New Roman" w:hAnsi="Times New Roman" w:cs="Times New Roman"/>
          <w:sz w:val="36"/>
        </w:rPr>
      </w:pPr>
    </w:p>
    <w:p>
      <w:pPr>
        <w:wordWrap w:val="0"/>
        <w:spacing w:line="360" w:lineRule="auto"/>
        <w:ind w:firstLine="450"/>
        <w:jc w:val="right"/>
        <w:rPr>
          <w:rFonts w:ascii="Times New Roman" w:hAnsi="Times New Roman" w:cs="Times New Roman"/>
          <w:b/>
          <w:sz w:val="24"/>
        </w:rPr>
      </w:pPr>
      <w:r>
        <w:rPr>
          <w:rFonts w:ascii="Times New Roman" w:hAnsi="Times New Roman" w:cs="Times New Roman"/>
          <w:b/>
          <w:sz w:val="24"/>
        </w:rPr>
        <w:t>China-UK Low Carbon College</w:t>
      </w:r>
    </w:p>
    <w:p>
      <w:pPr>
        <w:spacing w:line="360" w:lineRule="auto"/>
        <w:ind w:firstLine="450"/>
        <w:jc w:val="right"/>
        <w:rPr>
          <w:rFonts w:ascii="Times New Roman" w:hAnsi="Times New Roman" w:cs="Times New Roman"/>
          <w:b/>
          <w:sz w:val="24"/>
        </w:rPr>
      </w:pPr>
      <w:r>
        <w:rPr>
          <w:rFonts w:ascii="Times New Roman" w:hAnsi="Times New Roman" w:cs="Times New Roman"/>
          <w:b/>
          <w:sz w:val="24"/>
        </w:rPr>
        <w:t xml:space="preserve">Shanghai Jiao Tong University </w:t>
      </w: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spacing w:line="360" w:lineRule="auto"/>
        <w:ind w:firstLine="450"/>
        <w:jc w:val="right"/>
        <w:rPr>
          <w:rFonts w:ascii="Times New Roman" w:hAnsi="Times New Roman" w:cs="Times New Roman"/>
          <w:b/>
          <w:sz w:val="24"/>
        </w:rPr>
      </w:pPr>
    </w:p>
    <w:p>
      <w:pPr>
        <w:pStyle w:val="2"/>
        <w:rPr>
          <w:rFonts w:ascii="Times New Roman" w:hAnsi="Times New Roman" w:cs="Times New Roman"/>
          <w:sz w:val="32"/>
        </w:rPr>
      </w:pPr>
      <w:bookmarkStart w:id="4" w:name="_Toc522033842"/>
      <w:r>
        <w:rPr>
          <w:rFonts w:ascii="Times New Roman" w:hAnsi="Times New Roman" w:cs="Times New Roman"/>
          <w:sz w:val="32"/>
        </w:rPr>
        <w:t>Programme Overview</w:t>
      </w:r>
      <w:bookmarkEnd w:id="4"/>
      <w:r>
        <w:rPr>
          <w:rFonts w:ascii="Times New Roman" w:hAnsi="Times New Roman" w:cs="Times New Roman"/>
          <w:sz w:val="32"/>
        </w:rPr>
        <w:t xml:space="preserve"> </w:t>
      </w:r>
    </w:p>
    <w:p>
      <w:pPr>
        <w:rPr>
          <w:rFonts w:ascii="Times New Roman" w:hAnsi="Times New Roman" w:cs="Times New Roman"/>
          <w:sz w:val="28"/>
        </w:rPr>
      </w:pPr>
      <w:r>
        <w:rPr>
          <w:rFonts w:ascii="Times New Roman" w:hAnsi="Times New Roman" w:cs="Times New Roman"/>
          <w:sz w:val="28"/>
        </w:rPr>
        <w:t xml:space="preserve">Founded in 1913, this discipline began to recruit graduate students in 1956 and was one of the first the grant master’s and doctor’ degree. There are 7 research institutes including engineering thermal physics, impeller machinery, intermarry combustion engine, automotive electronic technology, thermal engineering, vibration impact noise, refrigeration and low temperature. A national key laboratory, a key laboratory of the ministry of education and an engineering research Centre of the ministry of education; currently, there are ‘power engineering and engineering thermal physics’ national key first-level point, master’s point and ‘power engineering and engineering thermal physics’ first level discipline doctoral point, master’s point and six second-level discipline doctoral point, master’s point, and ‘power engineering and engineering thermal physics’ postdoctoral mobile station. This discipline has a strong faculty, including 45 professors (40 doctoral supervisors), 53 associate professors. </w:t>
      </w:r>
    </w:p>
    <w:p>
      <w:pPr>
        <w:pStyle w:val="2"/>
        <w:rPr>
          <w:rFonts w:ascii="Times New Roman" w:hAnsi="Times New Roman" w:cs="Times New Roman"/>
          <w:sz w:val="32"/>
        </w:rPr>
      </w:pPr>
      <w:bookmarkStart w:id="5" w:name="_Toc522033844"/>
      <w:r>
        <w:rPr>
          <w:rFonts w:ascii="Times New Roman" w:hAnsi="Times New Roman" w:cs="Times New Roman"/>
          <w:sz w:val="32"/>
        </w:rPr>
        <w:t>Programme Duration</w:t>
      </w:r>
      <w:bookmarkEnd w:id="5"/>
    </w:p>
    <w:p>
      <w:pPr>
        <w:rPr>
          <w:rFonts w:ascii="Times New Roman" w:hAnsi="Times New Roman" w:cs="Times New Roman"/>
          <w:sz w:val="28"/>
          <w:lang w:val="en-GB"/>
        </w:rPr>
      </w:pPr>
      <w:r>
        <w:rPr>
          <w:rFonts w:ascii="Times New Roman" w:hAnsi="Times New Roman" w:cs="Times New Roman"/>
          <w:sz w:val="28"/>
          <w:lang w:val="en-GB"/>
        </w:rPr>
        <w:t>Students are supposed to finish their study within 2.5 years. In the first year, students study at LCC of SJTU and can apply to study at the UoE during the second year if they meet its entry requirements. In the final half year, students are required to finish their thesis in SJTU.</w:t>
      </w:r>
    </w:p>
    <w:p>
      <w:pPr>
        <w:pStyle w:val="2"/>
        <w:rPr>
          <w:rFonts w:ascii="Times New Roman" w:hAnsi="Times New Roman" w:cs="Times New Roman"/>
          <w:sz w:val="32"/>
        </w:rPr>
      </w:pPr>
      <w:bookmarkStart w:id="6" w:name="_Toc522033845"/>
      <w:r>
        <w:rPr>
          <w:rFonts w:ascii="Times New Roman" w:hAnsi="Times New Roman" w:cs="Times New Roman"/>
          <w:sz w:val="32"/>
        </w:rPr>
        <w:t>Degree Requirements</w:t>
      </w:r>
      <w:bookmarkEnd w:id="6"/>
    </w:p>
    <w:p>
      <w:pPr>
        <w:rPr>
          <w:rFonts w:ascii="Times New Roman" w:hAnsi="Times New Roman" w:cs="Times New Roman"/>
          <w:sz w:val="28"/>
          <w:lang w:val="en-GB"/>
        </w:rPr>
      </w:pPr>
      <w:r>
        <w:rPr>
          <w:rFonts w:ascii="Times New Roman" w:hAnsi="Times New Roman" w:cs="Times New Roman"/>
          <w:sz w:val="28"/>
          <w:lang w:val="en-GB"/>
        </w:rPr>
        <w:t>Students are required to acquire at least 30 credits, including 19 credits in GPA courses. I</w:t>
      </w:r>
      <w:r>
        <w:rPr>
          <w:rFonts w:hint="eastAsia" w:ascii="Times New Roman" w:hAnsi="Times New Roman" w:cs="Times New Roman"/>
          <w:sz w:val="28"/>
          <w:lang w:val="en-GB"/>
        </w:rPr>
        <w:t>f</w:t>
      </w:r>
      <w:r>
        <w:rPr>
          <w:rFonts w:ascii="Times New Roman" w:hAnsi="Times New Roman" w:cs="Times New Roman"/>
          <w:sz w:val="28"/>
          <w:lang w:val="en-GB"/>
        </w:rPr>
        <w:t xml:space="preserve"> final GPA points </w:t>
      </w:r>
      <w:r>
        <w:rPr>
          <w:rFonts w:hint="eastAsia" w:ascii="Times New Roman" w:hAnsi="Times New Roman" w:cs="Times New Roman"/>
          <w:sz w:val="28"/>
          <w:lang w:val="en-GB"/>
        </w:rPr>
        <w:t>are</w:t>
      </w:r>
      <w:r>
        <w:rPr>
          <w:rFonts w:ascii="Times New Roman" w:hAnsi="Times New Roman" w:cs="Times New Roman"/>
          <w:sz w:val="28"/>
          <w:lang w:val="en-GB"/>
        </w:rPr>
        <w:t xml:space="preserve"> no less than 2.7, students are allowed to start writing their research proposal. Courses are required to finish in the first year in principle.</w:t>
      </w:r>
    </w:p>
    <w:p>
      <w:pPr>
        <w:rPr>
          <w:rFonts w:ascii="Times New Roman" w:hAnsi="Times New Roman" w:cs="Times New Roman"/>
          <w:sz w:val="28"/>
          <w:lang w:val="en-GB"/>
        </w:rPr>
      </w:pPr>
      <w:r>
        <w:rPr>
          <w:rFonts w:ascii="Times New Roman" w:hAnsi="Times New Roman" w:cs="Times New Roman"/>
          <w:sz w:val="28"/>
          <w:lang w:val="en-GB"/>
        </w:rPr>
        <w:t>Students who are admitted to study at the UoE in the second year should finish relevant courses as required.</w:t>
      </w:r>
    </w:p>
    <w:p>
      <w:pPr>
        <w:rPr>
          <w:rFonts w:ascii="Times New Roman" w:hAnsi="Times New Roman"/>
          <w:b/>
          <w:sz w:val="28"/>
        </w:rPr>
      </w:pPr>
      <w:r>
        <w:rPr>
          <w:rFonts w:ascii="Times New Roman" w:hAnsi="Times New Roman"/>
          <w:b/>
          <w:sz w:val="28"/>
        </w:rPr>
        <w:t xml:space="preserve">Dissertation </w:t>
      </w:r>
    </w:p>
    <w:p>
      <w:pPr>
        <w:pStyle w:val="15"/>
        <w:numPr>
          <w:ilvl w:val="0"/>
          <w:numId w:val="1"/>
        </w:numPr>
        <w:ind w:firstLineChars="0"/>
        <w:rPr>
          <w:rFonts w:ascii="Times New Roman" w:hAnsi="Times New Roman"/>
          <w:sz w:val="28"/>
          <w:lang w:val="en-GB"/>
        </w:rPr>
      </w:pPr>
      <w:r>
        <w:rPr>
          <w:rFonts w:ascii="Times New Roman" w:hAnsi="Times New Roman"/>
          <w:sz w:val="28"/>
        </w:rPr>
        <w:t>T</w:t>
      </w:r>
      <w:r>
        <w:rPr>
          <w:rFonts w:hint="eastAsia" w:ascii="Times New Roman" w:hAnsi="Times New Roman"/>
          <w:sz w:val="28"/>
        </w:rPr>
        <w:t xml:space="preserve">he </w:t>
      </w:r>
      <w:r>
        <w:rPr>
          <w:rFonts w:ascii="Times New Roman" w:hAnsi="Times New Roman"/>
          <w:sz w:val="28"/>
        </w:rPr>
        <w:t xml:space="preserve">school of Mechanical Engineering in SJTU </w:t>
      </w:r>
      <w:r>
        <w:rPr>
          <w:rFonts w:ascii="Times New Roman" w:hAnsi="Times New Roman"/>
          <w:sz w:val="28"/>
          <w:lang w:val="en-GB"/>
        </w:rPr>
        <w:t>emphasizes applicability and practicability of the dissertation, as a result, students’ dissertation directions are supposed to stem from the practical experience or enterprises. If students pass the dissertation defence, they can get a master degree from SJTU.</w:t>
      </w:r>
    </w:p>
    <w:p>
      <w:pPr>
        <w:pStyle w:val="15"/>
        <w:numPr>
          <w:ilvl w:val="0"/>
          <w:numId w:val="1"/>
        </w:numPr>
        <w:ind w:firstLineChars="0"/>
        <w:rPr>
          <w:rFonts w:ascii="Times New Roman" w:hAnsi="Times New Roman"/>
          <w:sz w:val="28"/>
          <w:lang w:val="en-GB"/>
        </w:rPr>
      </w:pPr>
      <w:r>
        <w:rPr>
          <w:rFonts w:ascii="Times New Roman" w:hAnsi="Times New Roman"/>
          <w:sz w:val="28"/>
          <w:lang w:val="en-GB"/>
        </w:rPr>
        <w:t xml:space="preserve">Students who study in the UoE in the second year need to </w:t>
      </w:r>
      <w:r>
        <w:rPr>
          <w:rFonts w:hint="eastAsia" w:ascii="Times New Roman" w:hAnsi="Times New Roman"/>
          <w:sz w:val="28"/>
          <w:lang w:val="en-GB"/>
        </w:rPr>
        <w:t>meet</w:t>
      </w:r>
      <w:r>
        <w:rPr>
          <w:rFonts w:ascii="Times New Roman" w:hAnsi="Times New Roman"/>
          <w:sz w:val="28"/>
          <w:lang w:val="en-GB"/>
        </w:rPr>
        <w:t xml:space="preserve"> the requirements </w:t>
      </w:r>
      <w:r>
        <w:rPr>
          <w:rFonts w:hint="eastAsia" w:ascii="Times New Roman" w:hAnsi="Times New Roman"/>
          <w:sz w:val="28"/>
          <w:lang w:val="en-GB"/>
        </w:rPr>
        <w:t>UoE</w:t>
      </w:r>
      <w:r>
        <w:rPr>
          <w:rFonts w:ascii="Times New Roman" w:hAnsi="Times New Roman"/>
          <w:sz w:val="28"/>
          <w:lang w:val="en-GB"/>
        </w:rPr>
        <w:t xml:space="preserve"> makes. </w:t>
      </w:r>
    </w:p>
    <w:p>
      <w:pPr>
        <w:rPr>
          <w:rFonts w:ascii="Times New Roman" w:hAnsi="Times New Roman"/>
          <w:sz w:val="28"/>
        </w:rPr>
      </w:pPr>
    </w:p>
    <w:p>
      <w:pPr>
        <w:pStyle w:val="2"/>
        <w:rPr>
          <w:rFonts w:ascii="Times New Roman" w:hAnsi="Times New Roman" w:cs="Times New Roman"/>
          <w:sz w:val="32"/>
        </w:rPr>
      </w:pPr>
      <w:bookmarkStart w:id="7" w:name="_Toc522033846"/>
      <w:r>
        <w:rPr>
          <w:rFonts w:ascii="Times New Roman" w:hAnsi="Times New Roman" w:cs="Times New Roman"/>
          <w:sz w:val="32"/>
        </w:rPr>
        <w:t>Degree and Diploma</w:t>
      </w:r>
      <w:bookmarkEnd w:id="7"/>
    </w:p>
    <w:p>
      <w:pPr>
        <w:rPr>
          <w:rFonts w:ascii="Times New Roman" w:hAnsi="Times New Roman" w:cs="Times New Roman"/>
          <w:sz w:val="28"/>
          <w:lang w:val="en-GB"/>
        </w:rPr>
      </w:pPr>
      <w:r>
        <w:rPr>
          <w:rFonts w:ascii="Times New Roman" w:hAnsi="Times New Roman" w:cs="Times New Roman"/>
          <w:sz w:val="28"/>
          <w:lang w:val="en-GB"/>
        </w:rPr>
        <w:t>Students will be awarded a graduation diploma and a master degree from SJTU and UoE if they successfully complete the required credits, finish a degree thesis and pass the thesis defence.</w:t>
      </w:r>
    </w:p>
    <w:p>
      <w:pPr>
        <w:pStyle w:val="2"/>
        <w:rPr>
          <w:rFonts w:ascii="Times New Roman" w:hAnsi="Times New Roman" w:cs="Times New Roman"/>
          <w:sz w:val="32"/>
        </w:rPr>
      </w:pPr>
      <w:bookmarkStart w:id="8" w:name="_Toc522033847"/>
      <w:r>
        <w:rPr>
          <w:rFonts w:ascii="Times New Roman" w:hAnsi="Times New Roman" w:cs="Times New Roman"/>
          <w:sz w:val="32"/>
        </w:rPr>
        <w:t>Curriculum</w:t>
      </w:r>
      <w:bookmarkEnd w:id="8"/>
      <w:r>
        <w:rPr>
          <w:rFonts w:ascii="Times New Roman" w:hAnsi="Times New Roman" w:cs="Times New Roman"/>
          <w:sz w:val="32"/>
        </w:rPr>
        <w:t>(</w:t>
      </w:r>
      <w:r>
        <w:rPr>
          <w:rFonts w:hint="eastAsia" w:ascii="Times New Roman" w:hAnsi="Times New Roman" w:cs="Times New Roman"/>
          <w:sz w:val="32"/>
        </w:rPr>
        <w:t>加入课程</w:t>
      </w:r>
      <w:r>
        <w:rPr>
          <w:rFonts w:ascii="Times New Roman" w:hAnsi="Times New Roman" w:cs="Times New Roman"/>
          <w:sz w:val="32"/>
        </w:rPr>
        <w:t>代码)</w:t>
      </w:r>
    </w:p>
    <w:tbl>
      <w:tblPr>
        <w:tblStyle w:val="7"/>
        <w:tblW w:w="8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127"/>
        <w:gridCol w:w="1134"/>
        <w:gridCol w:w="850"/>
        <w:gridCol w:w="569"/>
        <w:gridCol w:w="708"/>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jc w:val="center"/>
              <w:rPr>
                <w:rFonts w:ascii="Times New Roman" w:hAnsi="Times New Roman"/>
                <w:b/>
                <w:szCs w:val="24"/>
              </w:rPr>
            </w:pPr>
            <w:r>
              <w:rPr>
                <w:rFonts w:ascii="Times New Roman" w:hAnsi="Times New Roman"/>
                <w:b/>
                <w:szCs w:val="24"/>
              </w:rPr>
              <w:t>Course Module</w:t>
            </w:r>
          </w:p>
        </w:tc>
        <w:tc>
          <w:tcPr>
            <w:tcW w:w="2127" w:type="dxa"/>
          </w:tcPr>
          <w:p>
            <w:pPr>
              <w:jc w:val="center"/>
              <w:rPr>
                <w:rFonts w:ascii="Times New Roman" w:hAnsi="Times New Roman"/>
                <w:b/>
                <w:szCs w:val="24"/>
              </w:rPr>
            </w:pPr>
            <w:r>
              <w:rPr>
                <w:rFonts w:ascii="Times New Roman" w:hAnsi="Times New Roman"/>
                <w:b/>
                <w:szCs w:val="24"/>
              </w:rPr>
              <w:t>Course Title</w:t>
            </w:r>
          </w:p>
        </w:tc>
        <w:tc>
          <w:tcPr>
            <w:tcW w:w="1134" w:type="dxa"/>
          </w:tcPr>
          <w:p>
            <w:pPr>
              <w:jc w:val="center"/>
              <w:rPr>
                <w:rFonts w:ascii="Times New Roman" w:hAnsi="Times New Roman"/>
                <w:b/>
                <w:szCs w:val="24"/>
              </w:rPr>
            </w:pPr>
            <w:r>
              <w:rPr>
                <w:rFonts w:ascii="Times New Roman" w:hAnsi="Times New Roman"/>
                <w:b/>
                <w:szCs w:val="24"/>
              </w:rPr>
              <w:t>Course Code</w:t>
            </w:r>
          </w:p>
        </w:tc>
        <w:tc>
          <w:tcPr>
            <w:tcW w:w="850" w:type="dxa"/>
          </w:tcPr>
          <w:p>
            <w:pPr>
              <w:jc w:val="center"/>
              <w:rPr>
                <w:rFonts w:ascii="Times New Roman" w:hAnsi="Times New Roman"/>
                <w:b/>
                <w:szCs w:val="24"/>
              </w:rPr>
            </w:pPr>
            <w:r>
              <w:rPr>
                <w:rFonts w:ascii="Times New Roman" w:hAnsi="Times New Roman"/>
                <w:b/>
                <w:szCs w:val="24"/>
              </w:rPr>
              <w:t>Class Hours</w:t>
            </w:r>
          </w:p>
        </w:tc>
        <w:tc>
          <w:tcPr>
            <w:tcW w:w="569" w:type="dxa"/>
          </w:tcPr>
          <w:p>
            <w:pPr>
              <w:jc w:val="center"/>
              <w:rPr>
                <w:rFonts w:ascii="Times New Roman" w:hAnsi="Times New Roman"/>
                <w:b/>
                <w:szCs w:val="24"/>
              </w:rPr>
            </w:pPr>
            <w:r>
              <w:rPr>
                <w:rFonts w:ascii="Times New Roman" w:hAnsi="Times New Roman"/>
                <w:b/>
                <w:szCs w:val="24"/>
              </w:rPr>
              <w:t>Credit</w:t>
            </w:r>
          </w:p>
        </w:tc>
        <w:tc>
          <w:tcPr>
            <w:tcW w:w="708" w:type="dxa"/>
          </w:tcPr>
          <w:p>
            <w:pPr>
              <w:jc w:val="center"/>
              <w:rPr>
                <w:rFonts w:ascii="Times New Roman" w:hAnsi="Times New Roman"/>
                <w:b/>
                <w:szCs w:val="24"/>
              </w:rPr>
            </w:pPr>
            <w:r>
              <w:rPr>
                <w:rFonts w:ascii="Times New Roman" w:hAnsi="Times New Roman"/>
                <w:b/>
                <w:szCs w:val="24"/>
              </w:rPr>
              <w:t>Semester</w:t>
            </w:r>
          </w:p>
        </w:tc>
        <w:tc>
          <w:tcPr>
            <w:tcW w:w="1489" w:type="dxa"/>
          </w:tcPr>
          <w:p>
            <w:pPr>
              <w:jc w:val="center"/>
              <w:rPr>
                <w:rFonts w:ascii="Times New Roman" w:hAnsi="Times New Roman"/>
                <w:b/>
                <w:szCs w:val="24"/>
              </w:rPr>
            </w:pPr>
            <w:r>
              <w:rPr>
                <w:rFonts w:ascii="Times New Roman" w:hAnsi="Times New Roman"/>
                <w:b/>
                <w:szCs w:val="24"/>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11" w:type="dxa"/>
            <w:vMerge w:val="restart"/>
            <w:vAlign w:val="center"/>
          </w:tcPr>
          <w:p>
            <w:pPr>
              <w:jc w:val="center"/>
              <w:rPr>
                <w:rFonts w:ascii="Times New Roman" w:hAnsi="Times New Roman"/>
                <w:szCs w:val="24"/>
              </w:rPr>
            </w:pPr>
            <w:bookmarkStart w:id="9" w:name="OLE_LINK14"/>
            <w:bookmarkStart w:id="10" w:name="OLE_LINK15"/>
            <w:r>
              <w:rPr>
                <w:rFonts w:ascii="Times New Roman" w:hAnsi="Times New Roman"/>
                <w:szCs w:val="21"/>
              </w:rPr>
              <w:t>General</w:t>
            </w:r>
            <w:r>
              <w:rPr>
                <w:rFonts w:hint="eastAsia" w:ascii="Times New Roman" w:hAnsi="Times New Roman"/>
                <w:szCs w:val="21"/>
              </w:rPr>
              <w:t xml:space="preserve"> </w:t>
            </w:r>
            <w:r>
              <w:rPr>
                <w:rFonts w:ascii="Times New Roman" w:hAnsi="Times New Roman"/>
                <w:szCs w:val="21"/>
              </w:rPr>
              <w:t>Fundamental Courses</w:t>
            </w:r>
            <w:bookmarkEnd w:id="9"/>
            <w:bookmarkEnd w:id="10"/>
          </w:p>
        </w:tc>
        <w:tc>
          <w:tcPr>
            <w:tcW w:w="2127" w:type="dxa"/>
          </w:tcPr>
          <w:p>
            <w:pPr>
              <w:jc w:val="center"/>
              <w:rPr>
                <w:rFonts w:ascii="Times New Roman" w:hAnsi="Times New Roman"/>
                <w:szCs w:val="24"/>
              </w:rPr>
            </w:pPr>
            <w:r>
              <w:rPr>
                <w:rFonts w:ascii="Times New Roman" w:hAnsi="Times New Roman"/>
                <w:szCs w:val="24"/>
              </w:rPr>
              <w:t>English for Academic Purposes</w:t>
            </w:r>
          </w:p>
        </w:tc>
        <w:tc>
          <w:tcPr>
            <w:tcW w:w="1134" w:type="dxa"/>
          </w:tcPr>
          <w:p>
            <w:pPr>
              <w:jc w:val="center"/>
              <w:rPr>
                <w:rFonts w:ascii="Times New Roman" w:hAnsi="Times New Roman"/>
                <w:szCs w:val="24"/>
              </w:rPr>
            </w:pPr>
            <w:r>
              <w:rPr>
                <w:rFonts w:ascii="Times New Roman" w:hAnsi="Times New Roman"/>
                <w:kern w:val="0"/>
                <w:szCs w:val="21"/>
              </w:rPr>
              <w:t>FL28002</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1,2</w:t>
            </w:r>
          </w:p>
        </w:tc>
        <w:tc>
          <w:tcPr>
            <w:tcW w:w="1489" w:type="dxa"/>
            <w:vMerge w:val="restart"/>
          </w:tcPr>
          <w:p>
            <w:pPr>
              <w:jc w:val="left"/>
              <w:rPr>
                <w:rFonts w:ascii="Times New Roman" w:hAnsi="Times New Roman"/>
                <w:szCs w:val="24"/>
              </w:rPr>
            </w:pPr>
            <w:r>
              <w:rPr>
                <w:rFonts w:ascii="Times New Roman" w:hAnsi="Times New Roman" w:cs="Times New Roman"/>
                <w:szCs w:val="24"/>
                <w:lang w:val="en-GB"/>
              </w:rPr>
              <w:t>Compulsory Courses (at least 7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Chinese Language</w:t>
            </w:r>
          </w:p>
        </w:tc>
        <w:tc>
          <w:tcPr>
            <w:tcW w:w="1134" w:type="dxa"/>
          </w:tcPr>
          <w:p>
            <w:pPr>
              <w:jc w:val="center"/>
              <w:rPr>
                <w:rFonts w:ascii="Times New Roman" w:hAnsi="Times New Roman" w:cs="Times New Roman"/>
                <w:szCs w:val="24"/>
                <w:lang w:val="en-GB"/>
              </w:rPr>
            </w:pPr>
            <w:r>
              <w:rPr>
                <w:rFonts w:ascii="Times New Roman" w:hAnsi="Times New Roman" w:cs="Times New Roman"/>
                <w:szCs w:val="24"/>
                <w:lang w:val="en-GB"/>
              </w:rPr>
              <w:t>CN16001</w:t>
            </w:r>
          </w:p>
        </w:tc>
        <w:tc>
          <w:tcPr>
            <w:tcW w:w="850" w:type="dxa"/>
          </w:tcPr>
          <w:p>
            <w:pPr>
              <w:jc w:val="center"/>
              <w:rPr>
                <w:rFonts w:ascii="Times New Roman" w:hAnsi="Times New Roman" w:cs="Times New Roman"/>
                <w:szCs w:val="24"/>
                <w:lang w:val="en-GB"/>
              </w:rPr>
            </w:pPr>
            <w:r>
              <w:rPr>
                <w:rFonts w:ascii="Times New Roman" w:hAnsi="Times New Roman" w:cs="Times New Roman"/>
                <w:szCs w:val="24"/>
                <w:lang w:val="en-GB"/>
              </w:rPr>
              <w:t>32</w:t>
            </w:r>
          </w:p>
        </w:tc>
        <w:tc>
          <w:tcPr>
            <w:tcW w:w="569" w:type="dxa"/>
          </w:tcPr>
          <w:p>
            <w:pPr>
              <w:jc w:val="center"/>
              <w:rPr>
                <w:rFonts w:ascii="Times New Roman" w:hAnsi="Times New Roman"/>
                <w:szCs w:val="24"/>
              </w:rPr>
            </w:pPr>
            <w:r>
              <w:rPr>
                <w:rFonts w:ascii="Times New Roman" w:hAnsi="Times New Roman" w:cs="Times New Roman"/>
                <w:szCs w:val="24"/>
                <w:lang w:val="en-GB"/>
              </w:rPr>
              <w:t>2</w:t>
            </w:r>
          </w:p>
        </w:tc>
        <w:tc>
          <w:tcPr>
            <w:tcW w:w="708" w:type="dxa"/>
          </w:tcPr>
          <w:p>
            <w:pPr>
              <w:jc w:val="center"/>
              <w:rPr>
                <w:rFonts w:ascii="Times New Roman" w:hAnsi="Times New Roman"/>
                <w:szCs w:val="24"/>
              </w:rPr>
            </w:pPr>
            <w:r>
              <w:rPr>
                <w:rFonts w:ascii="Times New Roman" w:hAnsi="Times New Roman" w:cs="Times New Roman"/>
                <w:szCs w:val="24"/>
                <w:lang w:val="en-GB"/>
              </w:rPr>
              <w:t>1,2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Introduction to Chinese Culture</w:t>
            </w:r>
          </w:p>
        </w:tc>
        <w:tc>
          <w:tcPr>
            <w:tcW w:w="1134" w:type="dxa"/>
          </w:tcPr>
          <w:p>
            <w:pPr>
              <w:jc w:val="center"/>
              <w:rPr>
                <w:rFonts w:ascii="Times New Roman" w:hAnsi="Times New Roman" w:cs="Times New Roman"/>
                <w:szCs w:val="24"/>
                <w:lang w:val="en-GB"/>
              </w:rPr>
            </w:pPr>
            <w:r>
              <w:rPr>
                <w:rFonts w:ascii="Times New Roman" w:hAnsi="Times New Roman" w:cs="Times New Roman"/>
                <w:szCs w:val="24"/>
                <w:lang w:val="en-GB"/>
              </w:rPr>
              <w:t>G090510</w:t>
            </w:r>
          </w:p>
        </w:tc>
        <w:tc>
          <w:tcPr>
            <w:tcW w:w="850" w:type="dxa"/>
          </w:tcPr>
          <w:p>
            <w:pPr>
              <w:jc w:val="center"/>
              <w:rPr>
                <w:rFonts w:ascii="Times New Roman" w:hAnsi="Times New Roman" w:cs="Times New Roman"/>
                <w:szCs w:val="24"/>
                <w:lang w:val="en-GB"/>
              </w:rPr>
            </w:pPr>
            <w:r>
              <w:rPr>
                <w:rFonts w:ascii="Times New Roman" w:hAnsi="Times New Roman" w:cs="Times New Roman"/>
                <w:szCs w:val="24"/>
                <w:lang w:val="en-GB"/>
              </w:rPr>
              <w:t>32</w:t>
            </w:r>
          </w:p>
        </w:tc>
        <w:tc>
          <w:tcPr>
            <w:tcW w:w="569" w:type="dxa"/>
          </w:tcPr>
          <w:p>
            <w:pPr>
              <w:jc w:val="center"/>
              <w:rPr>
                <w:rFonts w:ascii="Times New Roman" w:hAnsi="Times New Roman"/>
                <w:szCs w:val="24"/>
              </w:rPr>
            </w:pPr>
            <w:r>
              <w:rPr>
                <w:rFonts w:ascii="Times New Roman" w:hAnsi="Times New Roman" w:cs="Times New Roman"/>
                <w:szCs w:val="24"/>
                <w:lang w:val="en-GB"/>
              </w:rPr>
              <w:t>2</w:t>
            </w:r>
          </w:p>
        </w:tc>
        <w:tc>
          <w:tcPr>
            <w:tcW w:w="708" w:type="dxa"/>
          </w:tcPr>
          <w:p>
            <w:pPr>
              <w:jc w:val="center"/>
              <w:rPr>
                <w:rFonts w:ascii="Times New Roman" w:hAnsi="Times New Roman"/>
                <w:szCs w:val="24"/>
              </w:rPr>
            </w:pPr>
            <w:r>
              <w:rPr>
                <w:rFonts w:ascii="Times New Roman" w:hAnsi="Times New Roman" w:cs="Times New Roman"/>
                <w:szCs w:val="24"/>
                <w:lang w:val="en-GB"/>
              </w:rPr>
              <w:t>1,2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Academic Writing, Standards and Ethic</w:t>
            </w:r>
          </w:p>
        </w:tc>
        <w:tc>
          <w:tcPr>
            <w:tcW w:w="1134" w:type="dxa"/>
          </w:tcPr>
          <w:p>
            <w:pPr>
              <w:jc w:val="center"/>
              <w:rPr>
                <w:rFonts w:ascii="Times New Roman" w:hAnsi="Times New Roman" w:cs="Times New Roman"/>
                <w:szCs w:val="24"/>
                <w:lang w:val="en-GB"/>
              </w:rPr>
            </w:pPr>
            <w:r>
              <w:rPr>
                <w:rFonts w:ascii="Times New Roman" w:hAnsi="Times New Roman" w:eastAsia="等线"/>
                <w:kern w:val="0"/>
                <w:sz w:val="20"/>
                <w:szCs w:val="21"/>
              </w:rPr>
              <w:t>GS00001</w:t>
            </w:r>
          </w:p>
        </w:tc>
        <w:tc>
          <w:tcPr>
            <w:tcW w:w="850" w:type="dxa"/>
          </w:tcPr>
          <w:p>
            <w:pPr>
              <w:jc w:val="center"/>
              <w:rPr>
                <w:rFonts w:ascii="Times New Roman" w:hAnsi="Times New Roman" w:cs="Times New Roman"/>
                <w:szCs w:val="24"/>
                <w:lang w:val="en-GB"/>
              </w:rPr>
            </w:pPr>
            <w:r>
              <w:rPr>
                <w:rFonts w:ascii="Times New Roman" w:hAnsi="Times New Roman" w:cs="Times New Roman"/>
                <w:szCs w:val="24"/>
                <w:lang w:val="en-GB"/>
              </w:rPr>
              <w:t>16</w:t>
            </w:r>
          </w:p>
        </w:tc>
        <w:tc>
          <w:tcPr>
            <w:tcW w:w="569" w:type="dxa"/>
          </w:tcPr>
          <w:p>
            <w:pPr>
              <w:jc w:val="center"/>
              <w:rPr>
                <w:rFonts w:ascii="Times New Roman" w:hAnsi="Times New Roman"/>
                <w:szCs w:val="24"/>
              </w:rPr>
            </w:pPr>
            <w:r>
              <w:rPr>
                <w:rFonts w:ascii="Times New Roman" w:hAnsi="Times New Roman" w:cs="Times New Roman"/>
                <w:szCs w:val="24"/>
                <w:lang w:val="en-GB"/>
              </w:rPr>
              <w:t>1</w:t>
            </w:r>
          </w:p>
        </w:tc>
        <w:tc>
          <w:tcPr>
            <w:tcW w:w="708" w:type="dxa"/>
          </w:tcPr>
          <w:p>
            <w:pPr>
              <w:jc w:val="center"/>
              <w:rPr>
                <w:rFonts w:ascii="Times New Roman" w:hAnsi="Times New Roman"/>
                <w:szCs w:val="24"/>
              </w:rPr>
            </w:pPr>
            <w:r>
              <w:rPr>
                <w:rFonts w:ascii="Times New Roman" w:hAnsi="Times New Roman" w:cs="Times New Roman"/>
                <w:szCs w:val="24"/>
                <w:lang w:val="en-GB"/>
              </w:rPr>
              <w:t>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11" w:type="dxa"/>
            <w:vMerge w:val="restart"/>
            <w:vAlign w:val="center"/>
          </w:tcPr>
          <w:p>
            <w:pPr>
              <w:jc w:val="center"/>
              <w:rPr>
                <w:rFonts w:ascii="Times New Roman" w:hAnsi="Times New Roman"/>
                <w:szCs w:val="24"/>
              </w:rPr>
            </w:pPr>
            <w:bookmarkStart w:id="11" w:name="OLE_LINK10"/>
            <w:bookmarkStart w:id="12" w:name="OLE_LINK11"/>
            <w:r>
              <w:rPr>
                <w:rFonts w:ascii="Times New Roman" w:hAnsi="Times New Roman"/>
                <w:szCs w:val="21"/>
              </w:rPr>
              <w:t>Discipline Fundamental Courses</w:t>
            </w:r>
            <w:bookmarkEnd w:id="11"/>
            <w:bookmarkEnd w:id="12"/>
          </w:p>
        </w:tc>
        <w:tc>
          <w:tcPr>
            <w:tcW w:w="2127" w:type="dxa"/>
          </w:tcPr>
          <w:p>
            <w:pPr>
              <w:jc w:val="center"/>
              <w:rPr>
                <w:rFonts w:ascii="Times New Roman" w:hAnsi="Times New Roman"/>
                <w:szCs w:val="24"/>
              </w:rPr>
            </w:pPr>
            <w:r>
              <w:rPr>
                <w:rFonts w:ascii="Times New Roman" w:hAnsi="Times New Roman"/>
                <w:szCs w:val="24"/>
              </w:rPr>
              <w:t>Numerical Analysis</w:t>
            </w:r>
          </w:p>
        </w:tc>
        <w:tc>
          <w:tcPr>
            <w:tcW w:w="1134" w:type="dxa"/>
          </w:tcPr>
          <w:p>
            <w:pPr>
              <w:jc w:val="center"/>
              <w:rPr>
                <w:rFonts w:ascii="Times New Roman" w:hAnsi="Times New Roman"/>
                <w:szCs w:val="24"/>
              </w:rPr>
            </w:pPr>
            <w:r>
              <w:rPr>
                <w:rFonts w:ascii="Times New Roman" w:hAnsi="Times New Roman"/>
                <w:szCs w:val="24"/>
              </w:rPr>
              <w:t>G071503</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restart"/>
          </w:tcPr>
          <w:p>
            <w:pPr>
              <w:jc w:val="left"/>
              <w:rPr>
                <w:rFonts w:ascii="Times New Roman" w:hAnsi="Times New Roman"/>
                <w:szCs w:val="24"/>
              </w:rPr>
            </w:pPr>
            <w:r>
              <w:rPr>
                <w:rFonts w:ascii="Times New Roman" w:hAnsi="Times New Roman"/>
                <w:szCs w:val="24"/>
              </w:rPr>
              <w:t xml:space="preserve">Choose </w:t>
            </w:r>
            <w:r>
              <w:rPr>
                <w:rFonts w:ascii="Times New Roman" w:hAnsi="Times New Roman"/>
                <w:b/>
                <w:i/>
                <w:szCs w:val="24"/>
              </w:rPr>
              <w:t>two</w:t>
            </w:r>
            <w:r>
              <w:rPr>
                <w:rFonts w:ascii="Times New Roman" w:hAnsi="Times New Roman"/>
                <w:szCs w:val="24"/>
              </w:rPr>
              <w:t xml:space="preserve"> out of the </w:t>
            </w:r>
            <w:r>
              <w:rPr>
                <w:rFonts w:ascii="Times New Roman" w:hAnsi="Times New Roman"/>
                <w:b/>
                <w:i/>
                <w:szCs w:val="24"/>
              </w:rPr>
              <w:t>five</w:t>
            </w:r>
            <w:r>
              <w:rPr>
                <w:rFonts w:ascii="Times New Roman" w:hAnsi="Times New Roman"/>
                <w:szCs w:val="24"/>
              </w:rPr>
              <w:t xml:space="preserve"> courses</w:t>
            </w:r>
          </w:p>
          <w:p>
            <w:pPr>
              <w:jc w:val="left"/>
              <w:rPr>
                <w:rFonts w:ascii="Times New Roman" w:hAnsi="Times New Roman"/>
                <w:szCs w:val="24"/>
              </w:rPr>
            </w:pPr>
            <w:r>
              <w:rPr>
                <w:rFonts w:hint="eastAsia" w:ascii="Times New Roman" w:hAnsi="Times New Roman"/>
                <w:szCs w:val="24"/>
              </w:rPr>
              <w:t>（</w:t>
            </w:r>
            <w:r>
              <w:rPr>
                <w:rFonts w:ascii="Times New Roman" w:hAnsi="Times New Roman"/>
                <w:szCs w:val="24"/>
              </w:rPr>
              <w:t>at least 5 credits</w:t>
            </w:r>
            <w:r>
              <w:rPr>
                <w:rFonts w:hint="eastAsia" w:ascii="Times New Roman" w:hAnsi="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Fundamentals and Theory for Optimization Methods</w:t>
            </w:r>
          </w:p>
        </w:tc>
        <w:tc>
          <w:tcPr>
            <w:tcW w:w="1134" w:type="dxa"/>
          </w:tcPr>
          <w:p>
            <w:pPr>
              <w:jc w:val="center"/>
              <w:rPr>
                <w:rFonts w:ascii="Times New Roman" w:hAnsi="Times New Roman"/>
                <w:szCs w:val="24"/>
              </w:rPr>
            </w:pPr>
            <w:r>
              <w:rPr>
                <w:rFonts w:ascii="Times New Roman" w:hAnsi="Times New Roman"/>
                <w:szCs w:val="24"/>
              </w:rPr>
              <w:t>G071559</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Mathematical-Physical Equation</w:t>
            </w:r>
          </w:p>
        </w:tc>
        <w:tc>
          <w:tcPr>
            <w:tcW w:w="1134" w:type="dxa"/>
          </w:tcPr>
          <w:p>
            <w:pPr>
              <w:jc w:val="center"/>
              <w:rPr>
                <w:rFonts w:ascii="Times New Roman" w:hAnsi="Times New Roman"/>
                <w:szCs w:val="24"/>
              </w:rPr>
            </w:pPr>
            <w:r>
              <w:rPr>
                <w:rFonts w:ascii="Times New Roman" w:hAnsi="Times New Roman"/>
                <w:szCs w:val="24"/>
              </w:rPr>
              <w:t>G071507</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Matrix Theory</w:t>
            </w:r>
          </w:p>
        </w:tc>
        <w:tc>
          <w:tcPr>
            <w:tcW w:w="1134" w:type="dxa"/>
          </w:tcPr>
          <w:p>
            <w:pPr>
              <w:jc w:val="center"/>
              <w:rPr>
                <w:rFonts w:ascii="Times New Roman" w:hAnsi="Times New Roman"/>
                <w:szCs w:val="24"/>
              </w:rPr>
            </w:pPr>
            <w:r>
              <w:rPr>
                <w:rFonts w:ascii="Times New Roman" w:hAnsi="Times New Roman"/>
                <w:szCs w:val="24"/>
              </w:rPr>
              <w:t>G071555</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Fundamental Mathematical Statistics</w:t>
            </w:r>
          </w:p>
        </w:tc>
        <w:tc>
          <w:tcPr>
            <w:tcW w:w="1134" w:type="dxa"/>
          </w:tcPr>
          <w:p>
            <w:pPr>
              <w:jc w:val="center"/>
              <w:rPr>
                <w:rFonts w:ascii="Times New Roman" w:hAnsi="Times New Roman"/>
                <w:szCs w:val="24"/>
              </w:rPr>
            </w:pPr>
            <w:r>
              <w:rPr>
                <w:rFonts w:ascii="Times New Roman" w:hAnsi="Times New Roman"/>
                <w:szCs w:val="24"/>
              </w:rPr>
              <w:t>MA26005</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1411" w:type="dxa"/>
            <w:vMerge w:val="continue"/>
            <w:vAlign w:val="center"/>
          </w:tcPr>
          <w:p>
            <w:pPr>
              <w:ind w:left="105" w:hanging="105" w:hangingChars="50"/>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 xml:space="preserve">Advanced Engineering </w:t>
            </w:r>
            <w:bookmarkStart w:id="13" w:name="OLE_LINK24"/>
            <w:bookmarkStart w:id="14" w:name="OLE_LINK25"/>
            <w:r>
              <w:rPr>
                <w:rFonts w:ascii="Times New Roman" w:hAnsi="Times New Roman"/>
                <w:szCs w:val="24"/>
              </w:rPr>
              <w:t>Thermodynamics</w:t>
            </w:r>
            <w:bookmarkEnd w:id="13"/>
            <w:bookmarkEnd w:id="14"/>
          </w:p>
        </w:tc>
        <w:tc>
          <w:tcPr>
            <w:tcW w:w="1134" w:type="dxa"/>
          </w:tcPr>
          <w:p>
            <w:pPr>
              <w:spacing w:line="360" w:lineRule="auto"/>
              <w:jc w:val="center"/>
              <w:rPr>
                <w:rFonts w:ascii="Times New Roman" w:hAnsi="Times New Roman"/>
                <w:szCs w:val="24"/>
              </w:rPr>
            </w:pPr>
            <w:r>
              <w:rPr>
                <w:rFonts w:ascii="Times New Roman" w:hAnsi="Times New Roman"/>
                <w:szCs w:val="24"/>
              </w:rPr>
              <w:t>EP26003</w:t>
            </w:r>
          </w:p>
        </w:tc>
        <w:tc>
          <w:tcPr>
            <w:tcW w:w="850" w:type="dxa"/>
          </w:tcPr>
          <w:p>
            <w:pPr>
              <w:spacing w:line="360" w:lineRule="auto"/>
              <w:jc w:val="center"/>
              <w:rPr>
                <w:rFonts w:ascii="Times New Roman" w:hAnsi="Times New Roman"/>
                <w:szCs w:val="24"/>
              </w:rPr>
            </w:pPr>
            <w:r>
              <w:rPr>
                <w:rFonts w:ascii="Times New Roman" w:hAnsi="Times New Roman"/>
                <w:szCs w:val="24"/>
              </w:rPr>
              <w:t>48</w:t>
            </w:r>
          </w:p>
        </w:tc>
        <w:tc>
          <w:tcPr>
            <w:tcW w:w="569" w:type="dxa"/>
          </w:tcPr>
          <w:p>
            <w:pPr>
              <w:spacing w:line="360" w:lineRule="auto"/>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1,2</w:t>
            </w:r>
          </w:p>
        </w:tc>
        <w:tc>
          <w:tcPr>
            <w:tcW w:w="1489" w:type="dxa"/>
            <w:vMerge w:val="restart"/>
          </w:tcPr>
          <w:p>
            <w:pPr>
              <w:jc w:val="left"/>
              <w:rPr>
                <w:rFonts w:ascii="Times New Roman" w:hAnsi="Times New Roman"/>
                <w:szCs w:val="24"/>
              </w:rPr>
            </w:pPr>
          </w:p>
          <w:p>
            <w:pPr>
              <w:jc w:val="left"/>
              <w:rPr>
                <w:rFonts w:ascii="Times New Roman" w:hAnsi="Times New Roman"/>
                <w:szCs w:val="24"/>
              </w:rPr>
            </w:pPr>
          </w:p>
          <w:p>
            <w:pPr>
              <w:jc w:val="left"/>
              <w:rPr>
                <w:rFonts w:ascii="Times New Roman" w:hAnsi="Times New Roman"/>
                <w:szCs w:val="24"/>
              </w:rPr>
            </w:pPr>
          </w:p>
          <w:p>
            <w:pPr>
              <w:jc w:val="left"/>
              <w:rPr>
                <w:rFonts w:ascii="Times New Roman" w:hAnsi="Times New Roman"/>
                <w:szCs w:val="24"/>
              </w:rPr>
            </w:pPr>
          </w:p>
          <w:p>
            <w:pPr>
              <w:jc w:val="left"/>
              <w:rPr>
                <w:rFonts w:ascii="Times New Roman" w:hAnsi="Times New Roman"/>
                <w:szCs w:val="24"/>
              </w:rPr>
            </w:pPr>
          </w:p>
          <w:p>
            <w:pPr>
              <w:jc w:val="left"/>
              <w:rPr>
                <w:rFonts w:ascii="Times New Roman" w:hAnsi="Times New Roman"/>
                <w:szCs w:val="24"/>
              </w:rPr>
            </w:pPr>
          </w:p>
          <w:p>
            <w:pPr>
              <w:jc w:val="left"/>
              <w:rPr>
                <w:rFonts w:ascii="Times New Roman" w:hAnsi="Times New Roman"/>
                <w:szCs w:val="24"/>
              </w:rPr>
            </w:pPr>
          </w:p>
          <w:p>
            <w:pPr>
              <w:jc w:val="left"/>
              <w:rPr>
                <w:rFonts w:ascii="Times New Roman" w:hAnsi="Times New Roman"/>
                <w:szCs w:val="24"/>
              </w:rPr>
            </w:pPr>
            <w:bookmarkStart w:id="40" w:name="_GoBack"/>
            <w:bookmarkEnd w:id="40"/>
            <w:r>
              <w:rPr>
                <w:rFonts w:ascii="Times New Roman" w:hAnsi="Times New Roman"/>
                <w:szCs w:val="24"/>
              </w:rPr>
              <w:t>At least 6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Advanced Heat Transfer</w:t>
            </w:r>
          </w:p>
        </w:tc>
        <w:tc>
          <w:tcPr>
            <w:tcW w:w="1134" w:type="dxa"/>
          </w:tcPr>
          <w:p>
            <w:pPr>
              <w:spacing w:line="360" w:lineRule="auto"/>
              <w:jc w:val="center"/>
              <w:rPr>
                <w:rFonts w:ascii="Times New Roman" w:hAnsi="Times New Roman"/>
                <w:szCs w:val="24"/>
              </w:rPr>
            </w:pPr>
            <w:r>
              <w:rPr>
                <w:rFonts w:ascii="Times New Roman" w:hAnsi="Times New Roman"/>
                <w:szCs w:val="24"/>
              </w:rPr>
              <w:t>PO6012</w:t>
            </w:r>
          </w:p>
        </w:tc>
        <w:tc>
          <w:tcPr>
            <w:tcW w:w="850" w:type="dxa"/>
          </w:tcPr>
          <w:p>
            <w:pPr>
              <w:spacing w:line="360" w:lineRule="auto"/>
              <w:jc w:val="center"/>
              <w:rPr>
                <w:rFonts w:ascii="Times New Roman" w:hAnsi="Times New Roman"/>
                <w:szCs w:val="24"/>
              </w:rPr>
            </w:pPr>
            <w:r>
              <w:rPr>
                <w:rFonts w:ascii="Times New Roman" w:hAnsi="Times New Roman"/>
                <w:szCs w:val="24"/>
              </w:rPr>
              <w:t>48</w:t>
            </w:r>
          </w:p>
        </w:tc>
        <w:tc>
          <w:tcPr>
            <w:tcW w:w="569" w:type="dxa"/>
          </w:tcPr>
          <w:p>
            <w:pPr>
              <w:spacing w:line="360" w:lineRule="auto"/>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Advanced Fluid Dynamics in Engineering</w:t>
            </w:r>
          </w:p>
        </w:tc>
        <w:tc>
          <w:tcPr>
            <w:tcW w:w="1134" w:type="dxa"/>
          </w:tcPr>
          <w:p>
            <w:pPr>
              <w:spacing w:line="360" w:lineRule="auto"/>
              <w:jc w:val="center"/>
              <w:rPr>
                <w:rFonts w:ascii="Times New Roman" w:hAnsi="Times New Roman"/>
                <w:szCs w:val="24"/>
              </w:rPr>
            </w:pPr>
            <w:r>
              <w:rPr>
                <w:rFonts w:ascii="Times New Roman" w:hAnsi="Times New Roman"/>
                <w:szCs w:val="24"/>
              </w:rPr>
              <w:t>EP26001</w:t>
            </w:r>
          </w:p>
        </w:tc>
        <w:tc>
          <w:tcPr>
            <w:tcW w:w="850" w:type="dxa"/>
          </w:tcPr>
          <w:p>
            <w:pPr>
              <w:spacing w:line="360" w:lineRule="auto"/>
              <w:jc w:val="center"/>
              <w:rPr>
                <w:rFonts w:ascii="Times New Roman" w:hAnsi="Times New Roman"/>
                <w:szCs w:val="24"/>
              </w:rPr>
            </w:pPr>
            <w:r>
              <w:rPr>
                <w:rFonts w:ascii="Times New Roman" w:hAnsi="Times New Roman"/>
                <w:szCs w:val="24"/>
              </w:rPr>
              <w:t>48</w:t>
            </w:r>
          </w:p>
        </w:tc>
        <w:tc>
          <w:tcPr>
            <w:tcW w:w="569" w:type="dxa"/>
          </w:tcPr>
          <w:p>
            <w:pPr>
              <w:spacing w:line="360" w:lineRule="auto"/>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Advanced Combustion Theory</w:t>
            </w:r>
          </w:p>
        </w:tc>
        <w:tc>
          <w:tcPr>
            <w:tcW w:w="1134" w:type="dxa"/>
          </w:tcPr>
          <w:p>
            <w:pPr>
              <w:spacing w:line="360" w:lineRule="auto"/>
              <w:jc w:val="center"/>
              <w:rPr>
                <w:rFonts w:ascii="Times New Roman" w:hAnsi="Times New Roman"/>
                <w:szCs w:val="24"/>
              </w:rPr>
            </w:pPr>
            <w:r>
              <w:rPr>
                <w:rFonts w:ascii="Times New Roman" w:hAnsi="Times New Roman"/>
                <w:szCs w:val="24"/>
              </w:rPr>
              <w:t>EP26013</w:t>
            </w:r>
          </w:p>
        </w:tc>
        <w:tc>
          <w:tcPr>
            <w:tcW w:w="850" w:type="dxa"/>
          </w:tcPr>
          <w:p>
            <w:pPr>
              <w:spacing w:line="360" w:lineRule="auto"/>
              <w:jc w:val="center"/>
              <w:rPr>
                <w:rFonts w:ascii="Times New Roman" w:hAnsi="Times New Roman"/>
                <w:szCs w:val="24"/>
              </w:rPr>
            </w:pPr>
            <w:r>
              <w:rPr>
                <w:rFonts w:ascii="Times New Roman" w:hAnsi="Times New Roman"/>
                <w:szCs w:val="24"/>
              </w:rPr>
              <w:t>48</w:t>
            </w:r>
          </w:p>
        </w:tc>
        <w:tc>
          <w:tcPr>
            <w:tcW w:w="569" w:type="dxa"/>
          </w:tcPr>
          <w:p>
            <w:pPr>
              <w:spacing w:line="360" w:lineRule="auto"/>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New Energy Systems</w:t>
            </w:r>
          </w:p>
        </w:tc>
        <w:tc>
          <w:tcPr>
            <w:tcW w:w="1134" w:type="dxa"/>
          </w:tcPr>
          <w:p>
            <w:pPr>
              <w:spacing w:line="360" w:lineRule="auto"/>
              <w:jc w:val="center"/>
              <w:rPr>
                <w:rFonts w:ascii="Times New Roman" w:hAnsi="Times New Roman"/>
                <w:szCs w:val="24"/>
              </w:rPr>
            </w:pPr>
            <w:r>
              <w:rPr>
                <w:rFonts w:ascii="Times New Roman" w:hAnsi="Times New Roman"/>
                <w:szCs w:val="24"/>
              </w:rPr>
              <w:t>PO6020</w:t>
            </w:r>
          </w:p>
        </w:tc>
        <w:tc>
          <w:tcPr>
            <w:tcW w:w="850" w:type="dxa"/>
          </w:tcPr>
          <w:p>
            <w:pPr>
              <w:spacing w:line="360" w:lineRule="auto"/>
              <w:jc w:val="center"/>
              <w:rPr>
                <w:rFonts w:ascii="Times New Roman" w:hAnsi="Times New Roman"/>
                <w:szCs w:val="24"/>
              </w:rPr>
            </w:pPr>
            <w:r>
              <w:rPr>
                <w:rFonts w:ascii="Times New Roman" w:hAnsi="Times New Roman"/>
                <w:szCs w:val="24"/>
              </w:rPr>
              <w:t>48</w:t>
            </w:r>
          </w:p>
        </w:tc>
        <w:tc>
          <w:tcPr>
            <w:tcW w:w="569" w:type="dxa"/>
          </w:tcPr>
          <w:p>
            <w:pPr>
              <w:spacing w:line="360" w:lineRule="auto"/>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Basic Principles of Sensors and Mechanical Measurement Systems</w:t>
            </w:r>
          </w:p>
        </w:tc>
        <w:tc>
          <w:tcPr>
            <w:tcW w:w="1134" w:type="dxa"/>
          </w:tcPr>
          <w:p>
            <w:pPr>
              <w:spacing w:line="360" w:lineRule="auto"/>
              <w:jc w:val="center"/>
              <w:rPr>
                <w:rFonts w:ascii="Times New Roman" w:hAnsi="Times New Roman"/>
                <w:szCs w:val="24"/>
              </w:rPr>
            </w:pPr>
            <w:r>
              <w:rPr>
                <w:rFonts w:ascii="Times New Roman" w:hAnsi="Times New Roman"/>
                <w:szCs w:val="24"/>
              </w:rPr>
              <w:t>ME26001</w:t>
            </w:r>
          </w:p>
        </w:tc>
        <w:tc>
          <w:tcPr>
            <w:tcW w:w="850" w:type="dxa"/>
          </w:tcPr>
          <w:p>
            <w:pPr>
              <w:spacing w:line="360" w:lineRule="auto"/>
              <w:jc w:val="center"/>
              <w:rPr>
                <w:rFonts w:ascii="Times New Roman" w:hAnsi="Times New Roman"/>
                <w:szCs w:val="24"/>
              </w:rPr>
            </w:pPr>
            <w:r>
              <w:rPr>
                <w:rFonts w:ascii="Times New Roman" w:hAnsi="Times New Roman"/>
                <w:szCs w:val="24"/>
              </w:rPr>
              <w:t>48</w:t>
            </w:r>
          </w:p>
        </w:tc>
        <w:tc>
          <w:tcPr>
            <w:tcW w:w="569" w:type="dxa"/>
          </w:tcPr>
          <w:p>
            <w:pPr>
              <w:spacing w:line="360" w:lineRule="auto"/>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411" w:type="dxa"/>
            <w:vMerge w:val="restart"/>
            <w:vAlign w:val="center"/>
          </w:tcPr>
          <w:p>
            <w:pPr>
              <w:jc w:val="center"/>
              <w:rPr>
                <w:rFonts w:ascii="Times New Roman" w:hAnsi="Times New Roman"/>
                <w:szCs w:val="24"/>
              </w:rPr>
            </w:pPr>
            <w:bookmarkStart w:id="15" w:name="OLE_LINK13"/>
            <w:bookmarkStart w:id="16" w:name="OLE_LINK12"/>
            <w:r>
              <w:rPr>
                <w:rFonts w:ascii="Times New Roman" w:hAnsi="Times New Roman"/>
                <w:szCs w:val="24"/>
              </w:rPr>
              <w:t>Discipline Frontier Courses</w:t>
            </w:r>
            <w:bookmarkEnd w:id="15"/>
            <w:bookmarkEnd w:id="16"/>
          </w:p>
        </w:tc>
        <w:tc>
          <w:tcPr>
            <w:tcW w:w="2127" w:type="dxa"/>
          </w:tcPr>
          <w:p>
            <w:pPr>
              <w:jc w:val="center"/>
              <w:rPr>
                <w:rFonts w:hint="eastAsia" w:ascii="Times New Roman" w:hAnsi="Times New Roman"/>
                <w:szCs w:val="24"/>
              </w:rPr>
            </w:pPr>
            <w:bookmarkStart w:id="17" w:name="OLE_LINK26"/>
            <w:bookmarkStart w:id="18" w:name="OLE_LINK27"/>
            <w:r>
              <w:rPr>
                <w:rFonts w:ascii="Times New Roman" w:hAnsi="Times New Roman"/>
                <w:szCs w:val="24"/>
              </w:rPr>
              <w:t>Seminar</w:t>
            </w:r>
            <w:bookmarkEnd w:id="17"/>
            <w:bookmarkEnd w:id="18"/>
          </w:p>
        </w:tc>
        <w:tc>
          <w:tcPr>
            <w:tcW w:w="1134" w:type="dxa"/>
          </w:tcPr>
          <w:p>
            <w:pPr>
              <w:jc w:val="center"/>
              <w:rPr>
                <w:rFonts w:ascii="Times New Roman" w:hAnsi="Times New Roman"/>
                <w:szCs w:val="24"/>
              </w:rPr>
            </w:pPr>
            <w:r>
              <w:rPr>
                <w:rFonts w:ascii="Times New Roman" w:hAnsi="Times New Roman"/>
                <w:szCs w:val="24"/>
              </w:rPr>
              <w:t>ME6038</w:t>
            </w:r>
          </w:p>
        </w:tc>
        <w:tc>
          <w:tcPr>
            <w:tcW w:w="850" w:type="dxa"/>
          </w:tcPr>
          <w:p>
            <w:pPr>
              <w:jc w:val="center"/>
              <w:rPr>
                <w:rFonts w:ascii="Times New Roman" w:hAnsi="Times New Roman"/>
                <w:szCs w:val="24"/>
              </w:rPr>
            </w:pPr>
            <w:r>
              <w:rPr>
                <w:rFonts w:ascii="Times New Roman" w:hAnsi="Times New Roman"/>
                <w:szCs w:val="24"/>
              </w:rPr>
              <w:t>16</w:t>
            </w:r>
          </w:p>
        </w:tc>
        <w:tc>
          <w:tcPr>
            <w:tcW w:w="569" w:type="dxa"/>
          </w:tcPr>
          <w:p>
            <w:pPr>
              <w:jc w:val="center"/>
              <w:rPr>
                <w:rFonts w:ascii="Times New Roman" w:hAnsi="Times New Roman"/>
                <w:szCs w:val="24"/>
              </w:rPr>
            </w:pPr>
            <w:r>
              <w:rPr>
                <w:rFonts w:ascii="Times New Roman" w:hAnsi="Times New Roman"/>
                <w:szCs w:val="24"/>
              </w:rPr>
              <w:t>1</w:t>
            </w:r>
          </w:p>
        </w:tc>
        <w:tc>
          <w:tcPr>
            <w:tcW w:w="708" w:type="dxa"/>
          </w:tcPr>
          <w:p>
            <w:pPr>
              <w:jc w:val="center"/>
              <w:rPr>
                <w:rFonts w:ascii="Times New Roman" w:hAnsi="Times New Roman"/>
                <w:szCs w:val="24"/>
              </w:rPr>
            </w:pPr>
            <w:r>
              <w:rPr>
                <w:rFonts w:ascii="Times New Roman" w:hAnsi="Times New Roman"/>
                <w:szCs w:val="24"/>
              </w:rPr>
              <w:t>1,2</w:t>
            </w:r>
          </w:p>
        </w:tc>
        <w:tc>
          <w:tcPr>
            <w:tcW w:w="1489" w:type="dxa"/>
            <w:vMerge w:val="restart"/>
          </w:tcPr>
          <w:p>
            <w:pPr>
              <w:jc w:val="left"/>
              <w:rPr>
                <w:rFonts w:hint="eastAsia" w:ascii="Times New Roman" w:hAnsi="Times New Roman"/>
                <w:szCs w:val="24"/>
              </w:rPr>
            </w:pPr>
            <w:r>
              <w:rPr>
                <w:rFonts w:ascii="Times New Roman" w:hAnsi="Times New Roman"/>
                <w:b/>
                <w:bCs/>
                <w:szCs w:val="24"/>
              </w:rPr>
              <w:t>Seminar</w:t>
            </w:r>
            <w:r>
              <w:rPr>
                <w:rFonts w:ascii="Times New Roman" w:hAnsi="Times New Roman"/>
                <w:szCs w:val="24"/>
              </w:rPr>
              <w:t xml:space="preserve"> is compulsory. You need to complete </w:t>
            </w:r>
            <w:r>
              <w:rPr>
                <w:rFonts w:ascii="Times New Roman" w:hAnsi="Times New Roman"/>
                <w:b/>
                <w:bCs/>
                <w:szCs w:val="24"/>
              </w:rPr>
              <w:t>Environmental Economics</w:t>
            </w:r>
            <w:r>
              <w:rPr>
                <w:rFonts w:ascii="Times New Roman" w:hAnsi="Times New Roman"/>
                <w:szCs w:val="24"/>
              </w:rPr>
              <w:t xml:space="preserve"> before choose </w:t>
            </w:r>
            <w:r>
              <w:rPr>
                <w:rFonts w:ascii="Times New Roman" w:hAnsi="Times New Roman"/>
                <w:b/>
                <w:bCs/>
                <w:szCs w:val="24"/>
              </w:rPr>
              <w:t>Carbon Economics</w:t>
            </w:r>
            <w:r>
              <w:rPr>
                <w:rFonts w:hint="eastAsia" w:ascii="Times New Roman" w:hAnsi="Times New Roman"/>
                <w:szCs w:val="24"/>
              </w:rPr>
              <w:t>（</w:t>
            </w:r>
            <w:r>
              <w:rPr>
                <w:rFonts w:ascii="Times New Roman" w:hAnsi="Times New Roman"/>
                <w:szCs w:val="24"/>
              </w:rPr>
              <w:t xml:space="preserve">at least 7 credits </w:t>
            </w:r>
            <w:r>
              <w:rPr>
                <w:rFonts w:hint="eastAsia" w:ascii="Times New Roman" w:hAnsi="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Carbon Accounting</w:t>
            </w:r>
          </w:p>
        </w:tc>
        <w:tc>
          <w:tcPr>
            <w:tcW w:w="1134" w:type="dxa"/>
          </w:tcPr>
          <w:p>
            <w:pPr>
              <w:jc w:val="center"/>
              <w:rPr>
                <w:rFonts w:ascii="Times New Roman" w:hAnsi="Times New Roman"/>
                <w:szCs w:val="24"/>
              </w:rPr>
            </w:pPr>
            <w:r>
              <w:rPr>
                <w:rFonts w:ascii="Times New Roman" w:hAnsi="Times New Roman"/>
                <w:szCs w:val="24"/>
              </w:rPr>
              <w:t>EU26008</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3</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Carbon Economics</w:t>
            </w:r>
          </w:p>
        </w:tc>
        <w:tc>
          <w:tcPr>
            <w:tcW w:w="1134" w:type="dxa"/>
          </w:tcPr>
          <w:p>
            <w:pPr>
              <w:jc w:val="center"/>
              <w:rPr>
                <w:rFonts w:ascii="Times New Roman" w:hAnsi="Times New Roman"/>
                <w:szCs w:val="24"/>
              </w:rPr>
            </w:pPr>
            <w:r>
              <w:rPr>
                <w:rFonts w:ascii="Times New Roman" w:hAnsi="Times New Roman"/>
                <w:szCs w:val="24"/>
              </w:rPr>
              <w:t>EU26009</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3</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Business and Climate Change</w:t>
            </w:r>
          </w:p>
        </w:tc>
        <w:tc>
          <w:tcPr>
            <w:tcW w:w="1134" w:type="dxa"/>
          </w:tcPr>
          <w:p>
            <w:pPr>
              <w:jc w:val="center"/>
              <w:rPr>
                <w:rFonts w:ascii="Times New Roman" w:hAnsi="Times New Roman"/>
                <w:szCs w:val="24"/>
              </w:rPr>
            </w:pPr>
            <w:r>
              <w:rPr>
                <w:rFonts w:ascii="Times New Roman" w:hAnsi="Times New Roman"/>
                <w:szCs w:val="24"/>
              </w:rPr>
              <w:t>EU26010</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4</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Low Carbon Energy and Climate Change</w:t>
            </w:r>
          </w:p>
        </w:tc>
        <w:tc>
          <w:tcPr>
            <w:tcW w:w="1134" w:type="dxa"/>
          </w:tcPr>
          <w:p>
            <w:pPr>
              <w:jc w:val="center"/>
              <w:rPr>
                <w:rFonts w:ascii="Times New Roman" w:hAnsi="Times New Roman"/>
                <w:szCs w:val="24"/>
              </w:rPr>
            </w:pPr>
            <w:r>
              <w:rPr>
                <w:rFonts w:ascii="Times New Roman" w:hAnsi="Times New Roman"/>
                <w:szCs w:val="24"/>
              </w:rPr>
              <w:t>EU26022</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Advanced Carbon Cycle Science and Technology</w:t>
            </w:r>
          </w:p>
        </w:tc>
        <w:tc>
          <w:tcPr>
            <w:tcW w:w="1134" w:type="dxa"/>
          </w:tcPr>
          <w:p>
            <w:pPr>
              <w:jc w:val="center"/>
              <w:rPr>
                <w:rFonts w:ascii="Times New Roman" w:hAnsi="Times New Roman"/>
                <w:szCs w:val="24"/>
              </w:rPr>
            </w:pPr>
            <w:r>
              <w:rPr>
                <w:rFonts w:ascii="Times New Roman" w:hAnsi="Times New Roman"/>
                <w:szCs w:val="24"/>
              </w:rPr>
              <w:t>F160520</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11" w:type="dxa"/>
            <w:vMerge w:val="continue"/>
            <w:vAlign w:val="center"/>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Decision-Making for Low Carbon Management</w:t>
            </w:r>
          </w:p>
        </w:tc>
        <w:tc>
          <w:tcPr>
            <w:tcW w:w="1134" w:type="dxa"/>
          </w:tcPr>
          <w:p>
            <w:pPr>
              <w:jc w:val="center"/>
              <w:rPr>
                <w:rFonts w:ascii="Times New Roman" w:hAnsi="Times New Roman" w:cs="Times New Roman"/>
                <w:szCs w:val="24"/>
                <w:lang w:val="en-GB"/>
              </w:rPr>
            </w:pPr>
            <w:r>
              <w:rPr>
                <w:rFonts w:ascii="Times New Roman" w:hAnsi="Times New Roman" w:cs="Times New Roman"/>
                <w:szCs w:val="24"/>
                <w:lang w:val="en-GB"/>
              </w:rPr>
              <w:t>EU26021</w:t>
            </w:r>
          </w:p>
        </w:tc>
        <w:tc>
          <w:tcPr>
            <w:tcW w:w="850" w:type="dxa"/>
          </w:tcPr>
          <w:p>
            <w:pPr>
              <w:jc w:val="center"/>
              <w:rPr>
                <w:rFonts w:ascii="Times New Roman" w:hAnsi="Times New Roman" w:cs="Times New Roman"/>
                <w:szCs w:val="24"/>
                <w:lang w:val="en-GB"/>
              </w:rPr>
            </w:pPr>
            <w:r>
              <w:rPr>
                <w:rFonts w:ascii="Times New Roman" w:hAnsi="Times New Roman" w:cs="Times New Roman"/>
                <w:szCs w:val="24"/>
                <w:lang w:val="en-GB"/>
              </w:rPr>
              <w:t>32</w:t>
            </w:r>
          </w:p>
        </w:tc>
        <w:tc>
          <w:tcPr>
            <w:tcW w:w="569" w:type="dxa"/>
          </w:tcPr>
          <w:p>
            <w:pPr>
              <w:jc w:val="center"/>
              <w:rPr>
                <w:rFonts w:ascii="Times New Roman" w:hAnsi="Times New Roman"/>
                <w:szCs w:val="24"/>
              </w:rPr>
            </w:pPr>
            <w:r>
              <w:rPr>
                <w:rFonts w:ascii="Times New Roman" w:hAnsi="Times New Roman" w:cs="Times New Roman"/>
                <w:szCs w:val="24"/>
                <w:lang w:val="en-GB"/>
              </w:rPr>
              <w:t>2</w:t>
            </w:r>
          </w:p>
        </w:tc>
        <w:tc>
          <w:tcPr>
            <w:tcW w:w="708" w:type="dxa"/>
          </w:tcPr>
          <w:p>
            <w:pPr>
              <w:jc w:val="center"/>
              <w:rPr>
                <w:rFonts w:ascii="Times New Roman" w:hAnsi="Times New Roman"/>
                <w:szCs w:val="24"/>
              </w:rPr>
            </w:pPr>
            <w:r>
              <w:rPr>
                <w:rFonts w:ascii="Times New Roman" w:hAnsi="Times New Roman" w:cs="Times New Roman"/>
                <w:szCs w:val="24"/>
                <w:lang w:val="en-GB"/>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vMerge w:val="restart"/>
            <w:vAlign w:val="center"/>
          </w:tcPr>
          <w:p>
            <w:pPr>
              <w:jc w:val="center"/>
              <w:rPr>
                <w:rFonts w:ascii="Times New Roman" w:hAnsi="Times New Roman"/>
                <w:szCs w:val="24"/>
              </w:rPr>
            </w:pPr>
            <w:r>
              <w:rPr>
                <w:rFonts w:ascii="Times New Roman" w:hAnsi="Times New Roman"/>
                <w:szCs w:val="24"/>
              </w:rPr>
              <w:t>Discipline Optional Courses</w:t>
            </w:r>
          </w:p>
        </w:tc>
        <w:tc>
          <w:tcPr>
            <w:tcW w:w="2127" w:type="dxa"/>
          </w:tcPr>
          <w:p>
            <w:pPr>
              <w:jc w:val="center"/>
              <w:rPr>
                <w:rFonts w:ascii="Times New Roman" w:hAnsi="Times New Roman"/>
                <w:szCs w:val="24"/>
              </w:rPr>
            </w:pPr>
            <w:r>
              <w:rPr>
                <w:rFonts w:ascii="Times New Roman" w:hAnsi="Times New Roman"/>
                <w:szCs w:val="24"/>
              </w:rPr>
              <w:t>Practice in Specialty</w:t>
            </w:r>
          </w:p>
        </w:tc>
        <w:tc>
          <w:tcPr>
            <w:tcW w:w="1134" w:type="dxa"/>
          </w:tcPr>
          <w:p>
            <w:pPr>
              <w:jc w:val="center"/>
              <w:rPr>
                <w:rFonts w:ascii="Times New Roman" w:hAnsi="Times New Roman"/>
                <w:szCs w:val="24"/>
              </w:rPr>
            </w:pPr>
            <w:r>
              <w:rPr>
                <w:rFonts w:ascii="Times New Roman" w:hAnsi="Times New Roman"/>
                <w:szCs w:val="24"/>
              </w:rPr>
              <w:t>E160511</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Summer</w:t>
            </w:r>
          </w:p>
        </w:tc>
        <w:tc>
          <w:tcPr>
            <w:tcW w:w="1489" w:type="dxa"/>
            <w:vMerge w:val="restart"/>
          </w:tcPr>
          <w:p>
            <w:pPr>
              <w:jc w:val="left"/>
              <w:rPr>
                <w:rFonts w:hint="eastAsia" w:ascii="Times New Roman" w:hAnsi="Times New Roman"/>
                <w:szCs w:val="24"/>
              </w:rPr>
            </w:pPr>
          </w:p>
          <w:p>
            <w:pPr>
              <w:jc w:val="left"/>
              <w:rPr>
                <w:rFonts w:hint="eastAsia" w:ascii="Times New Roman" w:hAnsi="Times New Roman"/>
                <w:szCs w:val="24"/>
              </w:rPr>
            </w:pPr>
          </w:p>
          <w:p>
            <w:pPr>
              <w:jc w:val="left"/>
              <w:rPr>
                <w:rFonts w:hint="eastAsia" w:ascii="Times New Roman" w:hAnsi="Times New Roman"/>
                <w:szCs w:val="24"/>
              </w:rPr>
            </w:pPr>
          </w:p>
          <w:p>
            <w:pPr>
              <w:jc w:val="left"/>
              <w:rPr>
                <w:rFonts w:hint="eastAsia" w:ascii="Times New Roman" w:hAnsi="Times New Roman"/>
                <w:szCs w:val="24"/>
              </w:rPr>
            </w:pPr>
          </w:p>
          <w:p>
            <w:pPr>
              <w:jc w:val="left"/>
              <w:rPr>
                <w:rFonts w:hint="eastAsia" w:ascii="Times New Roman" w:hAnsi="Times New Roman"/>
                <w:szCs w:val="24"/>
              </w:rPr>
            </w:pPr>
          </w:p>
          <w:p>
            <w:pPr>
              <w:jc w:val="left"/>
              <w:rPr>
                <w:rFonts w:hint="eastAsia" w:ascii="Times New Roman" w:hAnsi="Times New Roman"/>
                <w:szCs w:val="24"/>
              </w:rPr>
            </w:pPr>
          </w:p>
          <w:p>
            <w:pPr>
              <w:jc w:val="left"/>
              <w:rPr>
                <w:rFonts w:hint="eastAsia" w:ascii="Times New Roman" w:hAnsi="Times New Roman"/>
                <w:szCs w:val="24"/>
              </w:rPr>
            </w:pPr>
          </w:p>
          <w:p>
            <w:pPr>
              <w:jc w:val="left"/>
              <w:rPr>
                <w:rFonts w:hint="eastAsia" w:ascii="Times New Roman" w:hAnsi="Times New Roman"/>
                <w:szCs w:val="24"/>
              </w:rPr>
            </w:pPr>
          </w:p>
          <w:p>
            <w:pPr>
              <w:jc w:val="left"/>
              <w:rPr>
                <w:rFonts w:hint="eastAsia" w:ascii="Times New Roman" w:hAnsi="Times New Roman"/>
                <w:szCs w:val="24"/>
              </w:rPr>
            </w:pPr>
          </w:p>
          <w:p>
            <w:pPr>
              <w:jc w:val="left"/>
              <w:rPr>
                <w:rFonts w:hint="default" w:ascii="Times New Roman" w:hAnsi="Times New Roman" w:eastAsiaTheme="minorEastAsia"/>
                <w:szCs w:val="24"/>
                <w:lang w:val="en-US" w:eastAsia="zh-CN"/>
              </w:rPr>
            </w:pPr>
            <w:r>
              <w:rPr>
                <w:rFonts w:ascii="Times New Roman" w:hAnsi="Times New Roman"/>
                <w:b/>
                <w:bCs/>
                <w:szCs w:val="24"/>
              </w:rPr>
              <w:t>Practice in Specialty</w:t>
            </w:r>
            <w:r>
              <w:rPr>
                <w:rFonts w:hint="eastAsia" w:ascii="Times New Roman" w:hAnsi="Times New Roman"/>
                <w:szCs w:val="24"/>
                <w:lang w:val="en-US" w:eastAsia="zh-CN"/>
              </w:rPr>
              <w:t xml:space="preserve"> is complusory</w:t>
            </w:r>
          </w:p>
          <w:p>
            <w:pPr>
              <w:jc w:val="left"/>
              <w:rPr>
                <w:rFonts w:ascii="Times New Roman" w:hAnsi="Times New Roman"/>
                <w:szCs w:val="24"/>
              </w:rPr>
            </w:pPr>
            <w:r>
              <w:rPr>
                <w:rFonts w:hint="eastAsia" w:ascii="Times New Roman" w:hAnsi="Times New Roman"/>
                <w:szCs w:val="24"/>
              </w:rPr>
              <w:t>A</w:t>
            </w:r>
            <w:r>
              <w:rPr>
                <w:rFonts w:ascii="Times New Roman" w:hAnsi="Times New Roman"/>
                <w:szCs w:val="24"/>
              </w:rPr>
              <w:t>t least 4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Carbon Resources Cycle</w:t>
            </w:r>
          </w:p>
        </w:tc>
        <w:tc>
          <w:tcPr>
            <w:tcW w:w="1134" w:type="dxa"/>
          </w:tcPr>
          <w:p>
            <w:pPr>
              <w:jc w:val="center"/>
              <w:rPr>
                <w:rFonts w:ascii="Times New Roman" w:hAnsi="Times New Roman"/>
                <w:szCs w:val="24"/>
              </w:rPr>
            </w:pPr>
            <w:r>
              <w:rPr>
                <w:rFonts w:ascii="Times New Roman" w:hAnsi="Times New Roman"/>
                <w:szCs w:val="24"/>
              </w:rPr>
              <w:t>EU26001</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4</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Energy Clean and Cascade Utilization</w:t>
            </w:r>
          </w:p>
        </w:tc>
        <w:tc>
          <w:tcPr>
            <w:tcW w:w="1134" w:type="dxa"/>
          </w:tcPr>
          <w:p>
            <w:pPr>
              <w:jc w:val="center"/>
              <w:rPr>
                <w:rFonts w:ascii="Times New Roman" w:hAnsi="Times New Roman"/>
                <w:szCs w:val="24"/>
              </w:rPr>
            </w:pPr>
            <w:r>
              <w:rPr>
                <w:rFonts w:ascii="Times New Roman" w:hAnsi="Times New Roman"/>
                <w:szCs w:val="24"/>
              </w:rPr>
              <w:t>PO6008</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4</w:t>
            </w:r>
          </w:p>
        </w:tc>
        <w:tc>
          <w:tcPr>
            <w:tcW w:w="1489" w:type="dxa"/>
            <w:vMerge w:val="continue"/>
          </w:tcPr>
          <w:p>
            <w:pPr>
              <w:jc w:val="left"/>
              <w:rPr>
                <w:rFonts w:ascii="Times New Roman" w:hAnsi="Times New Roman"/>
                <w:szCs w:val="24"/>
              </w:rPr>
            </w:pPr>
          </w:p>
        </w:tc>
      </w:tr>
      <w:tr>
        <w:tblPrEx>
          <w:tblLayout w:type="fixed"/>
          <w:tblCellMar>
            <w:top w:w="0" w:type="dxa"/>
            <w:left w:w="108" w:type="dxa"/>
            <w:bottom w:w="0" w:type="dxa"/>
            <w:right w:w="108" w:type="dxa"/>
          </w:tblCellMar>
        </w:tblPrEx>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Analysis of Energy Utilization Systems</w:t>
            </w:r>
          </w:p>
        </w:tc>
        <w:tc>
          <w:tcPr>
            <w:tcW w:w="1134" w:type="dxa"/>
          </w:tcPr>
          <w:p>
            <w:pPr>
              <w:jc w:val="center"/>
              <w:rPr>
                <w:rFonts w:ascii="Times New Roman" w:hAnsi="Times New Roman"/>
                <w:szCs w:val="24"/>
              </w:rPr>
            </w:pPr>
            <w:r>
              <w:rPr>
                <w:rFonts w:ascii="Times New Roman" w:hAnsi="Times New Roman"/>
                <w:szCs w:val="24"/>
              </w:rPr>
              <w:t>PO6007</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3</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Environmental Economics</w:t>
            </w:r>
          </w:p>
        </w:tc>
        <w:tc>
          <w:tcPr>
            <w:tcW w:w="1134" w:type="dxa"/>
          </w:tcPr>
          <w:p>
            <w:pPr>
              <w:jc w:val="center"/>
              <w:rPr>
                <w:rFonts w:ascii="Times New Roman" w:hAnsi="Times New Roman"/>
                <w:szCs w:val="24"/>
              </w:rPr>
            </w:pPr>
            <w:r>
              <w:rPr>
                <w:rFonts w:ascii="Times New Roman" w:hAnsi="Times New Roman"/>
                <w:szCs w:val="24"/>
              </w:rPr>
              <w:t>EU26006</w:t>
            </w:r>
          </w:p>
        </w:tc>
        <w:tc>
          <w:tcPr>
            <w:tcW w:w="850" w:type="dxa"/>
          </w:tcPr>
          <w:p>
            <w:pPr>
              <w:jc w:val="center"/>
              <w:rPr>
                <w:rFonts w:ascii="Times New Roman" w:hAnsi="Times New Roman"/>
                <w:szCs w:val="24"/>
              </w:rPr>
            </w:pPr>
            <w:r>
              <w:rPr>
                <w:rFonts w:ascii="Times New Roman" w:hAnsi="Times New Roman"/>
                <w:szCs w:val="24"/>
              </w:rPr>
              <w:t>32</w:t>
            </w:r>
          </w:p>
        </w:tc>
        <w:tc>
          <w:tcPr>
            <w:tcW w:w="569" w:type="dxa"/>
          </w:tcPr>
          <w:p>
            <w:pPr>
              <w:jc w:val="center"/>
              <w:rPr>
                <w:rFonts w:ascii="Times New Roman" w:hAnsi="Times New Roman"/>
                <w:szCs w:val="24"/>
              </w:rPr>
            </w:pPr>
            <w:r>
              <w:rPr>
                <w:rFonts w:ascii="Times New Roman" w:hAnsi="Times New Roman"/>
                <w:szCs w:val="24"/>
              </w:rPr>
              <w:t>2</w:t>
            </w:r>
          </w:p>
        </w:tc>
        <w:tc>
          <w:tcPr>
            <w:tcW w:w="708" w:type="dxa"/>
          </w:tcPr>
          <w:p>
            <w:pPr>
              <w:jc w:val="center"/>
              <w:rPr>
                <w:rFonts w:ascii="Times New Roman" w:hAnsi="Times New Roman"/>
                <w:szCs w:val="24"/>
              </w:rPr>
            </w:pPr>
            <w:r>
              <w:rPr>
                <w:rFonts w:ascii="Times New Roman" w:hAnsi="Times New Roman"/>
                <w:szCs w:val="24"/>
              </w:rPr>
              <w:t>Fall</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Building Energy Saving and Solar Energy Utilization</w:t>
            </w:r>
          </w:p>
        </w:tc>
        <w:tc>
          <w:tcPr>
            <w:tcW w:w="1134" w:type="dxa"/>
          </w:tcPr>
          <w:p>
            <w:pPr>
              <w:jc w:val="center"/>
              <w:rPr>
                <w:rFonts w:ascii="Times New Roman" w:hAnsi="Times New Roman"/>
                <w:szCs w:val="24"/>
              </w:rPr>
            </w:pPr>
            <w:r>
              <w:rPr>
                <w:rFonts w:ascii="Times New Roman" w:hAnsi="Times New Roman"/>
                <w:szCs w:val="24"/>
              </w:rPr>
              <w:t>PO6021</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Spring</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szCs w:val="24"/>
              </w:rPr>
              <w:t>Combustion and Emission Control in Internal Combustion Engine</w:t>
            </w:r>
          </w:p>
        </w:tc>
        <w:tc>
          <w:tcPr>
            <w:tcW w:w="1134" w:type="dxa"/>
          </w:tcPr>
          <w:p>
            <w:pPr>
              <w:jc w:val="center"/>
              <w:rPr>
                <w:rFonts w:ascii="Times New Roman" w:hAnsi="Times New Roman"/>
                <w:szCs w:val="24"/>
              </w:rPr>
            </w:pPr>
            <w:r>
              <w:rPr>
                <w:rFonts w:ascii="Times New Roman" w:hAnsi="Times New Roman"/>
                <w:szCs w:val="24"/>
              </w:rPr>
              <w:t>PO6027</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Fall</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eastAsia="宋体"/>
                <w:bCs/>
                <w:kern w:val="0"/>
                <w:szCs w:val="24"/>
              </w:rPr>
              <w:t>Gas Turbine Combustion Theory</w:t>
            </w:r>
          </w:p>
        </w:tc>
        <w:tc>
          <w:tcPr>
            <w:tcW w:w="1134" w:type="dxa"/>
          </w:tcPr>
          <w:p>
            <w:pPr>
              <w:jc w:val="center"/>
              <w:rPr>
                <w:rFonts w:ascii="Times New Roman" w:hAnsi="Times New Roman"/>
                <w:szCs w:val="24"/>
              </w:rPr>
            </w:pPr>
            <w:r>
              <w:rPr>
                <w:rFonts w:ascii="Times New Roman" w:hAnsi="Times New Roman"/>
                <w:szCs w:val="24"/>
              </w:rPr>
              <w:t>EP26087</w:t>
            </w:r>
          </w:p>
        </w:tc>
        <w:tc>
          <w:tcPr>
            <w:tcW w:w="850" w:type="dxa"/>
          </w:tcPr>
          <w:p>
            <w:pPr>
              <w:jc w:val="center"/>
              <w:rPr>
                <w:rFonts w:ascii="Times New Roman" w:hAnsi="Times New Roman"/>
                <w:szCs w:val="24"/>
              </w:rPr>
            </w:pPr>
            <w:r>
              <w:rPr>
                <w:rFonts w:ascii="Times New Roman" w:hAnsi="Times New Roman"/>
                <w:szCs w:val="24"/>
              </w:rPr>
              <w:t>48</w:t>
            </w:r>
          </w:p>
        </w:tc>
        <w:tc>
          <w:tcPr>
            <w:tcW w:w="569" w:type="dxa"/>
          </w:tcPr>
          <w:p>
            <w:pPr>
              <w:jc w:val="center"/>
              <w:rPr>
                <w:rFonts w:ascii="Times New Roman" w:hAnsi="Times New Roman"/>
                <w:szCs w:val="24"/>
              </w:rPr>
            </w:pPr>
            <w:r>
              <w:rPr>
                <w:rFonts w:ascii="Times New Roman" w:hAnsi="Times New Roman"/>
                <w:szCs w:val="24"/>
              </w:rPr>
              <w:t>3</w:t>
            </w:r>
          </w:p>
        </w:tc>
        <w:tc>
          <w:tcPr>
            <w:tcW w:w="708" w:type="dxa"/>
          </w:tcPr>
          <w:p>
            <w:pPr>
              <w:jc w:val="center"/>
              <w:rPr>
                <w:rFonts w:ascii="Times New Roman" w:hAnsi="Times New Roman"/>
                <w:szCs w:val="24"/>
              </w:rPr>
            </w:pPr>
            <w:r>
              <w:rPr>
                <w:rFonts w:ascii="Times New Roman" w:hAnsi="Times New Roman"/>
                <w:szCs w:val="24"/>
              </w:rPr>
              <w:t>1</w:t>
            </w:r>
          </w:p>
        </w:tc>
        <w:tc>
          <w:tcPr>
            <w:tcW w:w="1489" w:type="dxa"/>
            <w:vMerge w:val="continue"/>
          </w:tcPr>
          <w:p>
            <w:pPr>
              <w:jc w:val="left"/>
              <w:rPr>
                <w:rFonts w:ascii="Times New Roman" w:hAnsi="Times New Roman"/>
                <w:szCs w:val="24"/>
              </w:rPr>
            </w:pPr>
          </w:p>
        </w:tc>
      </w:tr>
      <w:tr>
        <w:tblPrEx>
          <w:tblLayout w:type="fixed"/>
          <w:tblCellMar>
            <w:top w:w="0" w:type="dxa"/>
            <w:left w:w="108" w:type="dxa"/>
            <w:bottom w:w="0" w:type="dxa"/>
            <w:right w:w="108" w:type="dxa"/>
          </w:tblCellMar>
        </w:tblPrEx>
        <w:trPr>
          <w:trHeight w:val="182" w:hRule="atLeast"/>
        </w:trPr>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Cities and Sustainability: The urban as a vehicle for low carbon transitions</w:t>
            </w:r>
          </w:p>
        </w:tc>
        <w:tc>
          <w:tcPr>
            <w:tcW w:w="1134" w:type="dxa"/>
          </w:tcPr>
          <w:p>
            <w:pPr>
              <w:jc w:val="center"/>
              <w:rPr>
                <w:rFonts w:ascii="Times New Roman" w:hAnsi="Times New Roman" w:cs="Times New Roman"/>
                <w:szCs w:val="24"/>
                <w:lang w:val="en-GB"/>
              </w:rPr>
            </w:pPr>
            <w:r>
              <w:rPr>
                <w:rFonts w:ascii="Times New Roman" w:hAnsi="Times New Roman" w:cs="Times New Roman"/>
                <w:szCs w:val="24"/>
                <w:lang w:val="en-GB"/>
              </w:rPr>
              <w:t>EU26018</w:t>
            </w:r>
          </w:p>
        </w:tc>
        <w:tc>
          <w:tcPr>
            <w:tcW w:w="850" w:type="dxa"/>
          </w:tcPr>
          <w:p>
            <w:pPr>
              <w:jc w:val="center"/>
              <w:rPr>
                <w:rFonts w:ascii="Times New Roman" w:hAnsi="Times New Roman" w:cs="Times New Roman"/>
                <w:szCs w:val="24"/>
                <w:lang w:val="en-GB"/>
              </w:rPr>
            </w:pPr>
            <w:r>
              <w:rPr>
                <w:rFonts w:ascii="Times New Roman" w:hAnsi="Times New Roman" w:cs="Times New Roman"/>
                <w:szCs w:val="24"/>
                <w:lang w:val="en-GB"/>
              </w:rPr>
              <w:t>32</w:t>
            </w:r>
          </w:p>
        </w:tc>
        <w:tc>
          <w:tcPr>
            <w:tcW w:w="569" w:type="dxa"/>
          </w:tcPr>
          <w:p>
            <w:pPr>
              <w:jc w:val="center"/>
              <w:rPr>
                <w:rFonts w:ascii="Times New Roman" w:hAnsi="Times New Roman"/>
                <w:szCs w:val="24"/>
              </w:rPr>
            </w:pPr>
            <w:r>
              <w:rPr>
                <w:rFonts w:ascii="Times New Roman" w:hAnsi="Times New Roman" w:cs="Times New Roman"/>
                <w:szCs w:val="24"/>
                <w:lang w:val="en-GB"/>
              </w:rPr>
              <w:t>2</w:t>
            </w:r>
          </w:p>
        </w:tc>
        <w:tc>
          <w:tcPr>
            <w:tcW w:w="708" w:type="dxa"/>
          </w:tcPr>
          <w:p>
            <w:pPr>
              <w:jc w:val="center"/>
              <w:rPr>
                <w:rFonts w:ascii="Times New Roman" w:hAnsi="Times New Roman"/>
                <w:szCs w:val="24"/>
              </w:rPr>
            </w:pPr>
            <w:r>
              <w:rPr>
                <w:rFonts w:ascii="Times New Roman" w:hAnsi="Times New Roman" w:cs="Times New Roman"/>
                <w:szCs w:val="24"/>
                <w:lang w:val="en-GB"/>
              </w:rPr>
              <w:t>2</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Geology for Earth Resources</w:t>
            </w:r>
          </w:p>
        </w:tc>
        <w:tc>
          <w:tcPr>
            <w:tcW w:w="1134" w:type="dxa"/>
          </w:tcPr>
          <w:p>
            <w:pPr>
              <w:jc w:val="center"/>
              <w:rPr>
                <w:rFonts w:ascii="Times New Roman" w:hAnsi="Times New Roman" w:cs="Times New Roman"/>
                <w:szCs w:val="24"/>
                <w:lang w:val="en-GB"/>
              </w:rPr>
            </w:pPr>
            <w:r>
              <w:rPr>
                <w:rFonts w:ascii="Times New Roman" w:hAnsi="Times New Roman" w:cs="Times New Roman"/>
                <w:szCs w:val="24"/>
                <w:lang w:val="en-GB"/>
              </w:rPr>
              <w:t>EU26019</w:t>
            </w:r>
          </w:p>
        </w:tc>
        <w:tc>
          <w:tcPr>
            <w:tcW w:w="850" w:type="dxa"/>
          </w:tcPr>
          <w:p>
            <w:pPr>
              <w:jc w:val="center"/>
              <w:rPr>
                <w:rFonts w:ascii="Times New Roman" w:hAnsi="Times New Roman" w:cs="Times New Roman"/>
                <w:szCs w:val="24"/>
                <w:lang w:val="en-GB"/>
              </w:rPr>
            </w:pPr>
            <w:r>
              <w:rPr>
                <w:rFonts w:ascii="Times New Roman" w:hAnsi="Times New Roman" w:cs="Times New Roman"/>
                <w:szCs w:val="24"/>
                <w:lang w:val="en-GB"/>
              </w:rPr>
              <w:t>16</w:t>
            </w:r>
          </w:p>
        </w:tc>
        <w:tc>
          <w:tcPr>
            <w:tcW w:w="569" w:type="dxa"/>
          </w:tcPr>
          <w:p>
            <w:pPr>
              <w:jc w:val="center"/>
              <w:rPr>
                <w:rFonts w:ascii="Times New Roman" w:hAnsi="Times New Roman"/>
                <w:szCs w:val="24"/>
              </w:rPr>
            </w:pPr>
            <w:r>
              <w:rPr>
                <w:rFonts w:ascii="Times New Roman" w:hAnsi="Times New Roman" w:cs="Times New Roman"/>
                <w:szCs w:val="24"/>
                <w:lang w:val="en-GB"/>
              </w:rPr>
              <w:t>1</w:t>
            </w:r>
          </w:p>
        </w:tc>
        <w:tc>
          <w:tcPr>
            <w:tcW w:w="708" w:type="dxa"/>
          </w:tcPr>
          <w:p>
            <w:pPr>
              <w:jc w:val="center"/>
              <w:rPr>
                <w:rFonts w:ascii="Times New Roman" w:hAnsi="Times New Roman"/>
                <w:szCs w:val="24"/>
              </w:rPr>
            </w:pPr>
            <w:r>
              <w:rPr>
                <w:rFonts w:ascii="Times New Roman" w:hAnsi="Times New Roman" w:cs="Times New Roman"/>
                <w:szCs w:val="24"/>
                <w:lang w:val="en-GB"/>
              </w:rPr>
              <w:t>1</w:t>
            </w:r>
          </w:p>
        </w:tc>
        <w:tc>
          <w:tcPr>
            <w:tcW w:w="1489" w:type="dxa"/>
            <w:vMerge w:val="continue"/>
          </w:tcPr>
          <w:p>
            <w:pPr>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411" w:type="dxa"/>
            <w:vMerge w:val="continue"/>
          </w:tcPr>
          <w:p>
            <w:pPr>
              <w:jc w:val="center"/>
              <w:rPr>
                <w:rFonts w:ascii="Times New Roman" w:hAnsi="Times New Roman"/>
                <w:szCs w:val="24"/>
              </w:rPr>
            </w:pPr>
          </w:p>
        </w:tc>
        <w:tc>
          <w:tcPr>
            <w:tcW w:w="2127" w:type="dxa"/>
          </w:tcPr>
          <w:p>
            <w:pPr>
              <w:jc w:val="center"/>
              <w:rPr>
                <w:rFonts w:ascii="Times New Roman" w:hAnsi="Times New Roman"/>
                <w:szCs w:val="24"/>
              </w:rPr>
            </w:pPr>
            <w:r>
              <w:rPr>
                <w:rFonts w:ascii="Times New Roman" w:hAnsi="Times New Roman" w:cs="Times New Roman"/>
                <w:szCs w:val="24"/>
                <w:lang w:val="en-GB"/>
              </w:rPr>
              <w:t>Petroleum Geology for GeoEnergy</w:t>
            </w:r>
          </w:p>
        </w:tc>
        <w:tc>
          <w:tcPr>
            <w:tcW w:w="1134" w:type="dxa"/>
          </w:tcPr>
          <w:p>
            <w:pPr>
              <w:jc w:val="center"/>
              <w:rPr>
                <w:rFonts w:ascii="Times New Roman" w:hAnsi="Times New Roman" w:cs="Times New Roman"/>
                <w:szCs w:val="24"/>
                <w:lang w:val="en-GB"/>
              </w:rPr>
            </w:pPr>
            <w:r>
              <w:rPr>
                <w:rFonts w:ascii="Times New Roman" w:hAnsi="Times New Roman" w:cs="Times New Roman"/>
                <w:szCs w:val="24"/>
                <w:lang w:val="en-GB"/>
              </w:rPr>
              <w:t>EU26020</w:t>
            </w:r>
          </w:p>
        </w:tc>
        <w:tc>
          <w:tcPr>
            <w:tcW w:w="850" w:type="dxa"/>
          </w:tcPr>
          <w:p>
            <w:pPr>
              <w:jc w:val="center"/>
              <w:rPr>
                <w:rFonts w:ascii="Times New Roman" w:hAnsi="Times New Roman" w:cs="Times New Roman"/>
                <w:szCs w:val="24"/>
                <w:lang w:val="en-GB"/>
              </w:rPr>
            </w:pPr>
            <w:r>
              <w:rPr>
                <w:rFonts w:ascii="Times New Roman" w:hAnsi="Times New Roman" w:cs="Times New Roman"/>
                <w:szCs w:val="24"/>
                <w:lang w:val="en-GB"/>
              </w:rPr>
              <w:t>16</w:t>
            </w:r>
          </w:p>
        </w:tc>
        <w:tc>
          <w:tcPr>
            <w:tcW w:w="569" w:type="dxa"/>
          </w:tcPr>
          <w:p>
            <w:pPr>
              <w:jc w:val="center"/>
              <w:rPr>
                <w:rFonts w:ascii="Times New Roman" w:hAnsi="Times New Roman"/>
                <w:szCs w:val="24"/>
              </w:rPr>
            </w:pPr>
            <w:r>
              <w:rPr>
                <w:rFonts w:ascii="Times New Roman" w:hAnsi="Times New Roman" w:cs="Times New Roman"/>
                <w:szCs w:val="24"/>
                <w:lang w:val="en-GB"/>
              </w:rPr>
              <w:t>1</w:t>
            </w:r>
          </w:p>
        </w:tc>
        <w:tc>
          <w:tcPr>
            <w:tcW w:w="708" w:type="dxa"/>
          </w:tcPr>
          <w:p>
            <w:pPr>
              <w:jc w:val="center"/>
              <w:rPr>
                <w:rFonts w:ascii="Times New Roman" w:hAnsi="Times New Roman"/>
                <w:szCs w:val="24"/>
              </w:rPr>
            </w:pPr>
            <w:r>
              <w:rPr>
                <w:rFonts w:ascii="Times New Roman" w:hAnsi="Times New Roman" w:cs="Times New Roman"/>
                <w:szCs w:val="24"/>
                <w:lang w:val="en-GB"/>
              </w:rPr>
              <w:t>1</w:t>
            </w:r>
          </w:p>
        </w:tc>
        <w:tc>
          <w:tcPr>
            <w:tcW w:w="1489" w:type="dxa"/>
            <w:vMerge w:val="continue"/>
          </w:tcPr>
          <w:p>
            <w:pPr>
              <w:jc w:val="left"/>
              <w:rPr>
                <w:rFonts w:ascii="Times New Roman" w:hAnsi="Times New Roman"/>
                <w:szCs w:val="24"/>
              </w:rPr>
            </w:pPr>
          </w:p>
        </w:tc>
      </w:tr>
    </w:tbl>
    <w:p>
      <w:pPr>
        <w:pStyle w:val="15"/>
        <w:ind w:left="420" w:firstLine="0" w:firstLineChars="0"/>
        <w:rPr>
          <w:rFonts w:ascii="Times New Roman" w:hAnsi="Times New Roman"/>
          <w:sz w:val="24"/>
          <w:szCs w:val="24"/>
        </w:rPr>
      </w:pPr>
    </w:p>
    <w:p>
      <w:pPr>
        <w:pStyle w:val="15"/>
        <w:ind w:firstLine="0" w:firstLineChars="0"/>
        <w:rPr>
          <w:rFonts w:ascii="Times New Roman" w:hAnsi="Times New Roman"/>
          <w:sz w:val="24"/>
          <w:szCs w:val="24"/>
        </w:rPr>
      </w:pPr>
    </w:p>
    <w:p>
      <w:pPr>
        <w:rPr>
          <w:rFonts w:ascii="Times New Roman" w:hAnsi="Times New Roman" w:cs="Times New Roman"/>
          <w:b/>
          <w:sz w:val="28"/>
        </w:rPr>
      </w:pPr>
      <w:r>
        <w:rPr>
          <w:rFonts w:ascii="Times New Roman" w:hAnsi="Times New Roman" w:cs="Times New Roman"/>
          <w:b/>
          <w:sz w:val="28"/>
        </w:rPr>
        <w:t>Seminar</w:t>
      </w:r>
    </w:p>
    <w:p>
      <w:pPr>
        <w:spacing w:after="156" w:afterLines="50" w:line="360" w:lineRule="auto"/>
        <w:rPr>
          <w:rFonts w:ascii="Times New Roman" w:hAnsi="Times New Roman" w:cs="Times New Roman"/>
          <w:sz w:val="28"/>
          <w:lang w:val="en-GB"/>
        </w:rPr>
      </w:pPr>
      <w:r>
        <w:rPr>
          <w:rFonts w:ascii="Times New Roman" w:hAnsi="Times New Roman" w:cs="Times New Roman"/>
          <w:sz w:val="28"/>
          <w:lang w:val="en-GB"/>
        </w:rPr>
        <w:t>Every student should attend ten academic lectures. This must be completed within the first two semesters. Low-carbon field experts will be welcomed to give speeches, and students should take notes in the designated Record Book (with green cover page). The record book and a summary report</w:t>
      </w:r>
      <w:r>
        <w:rPr>
          <w:rFonts w:hint="eastAsia" w:ascii="Times New Roman" w:hAnsi="Times New Roman" w:cs="Times New Roman"/>
          <w:sz w:val="28"/>
          <w:lang w:val="en-GB"/>
        </w:rPr>
        <w:t>（no less than 3000 words）</w:t>
      </w:r>
      <w:r>
        <w:rPr>
          <w:rFonts w:ascii="Times New Roman" w:hAnsi="Times New Roman" w:cs="Times New Roman"/>
          <w:sz w:val="28"/>
          <w:lang w:val="en-GB"/>
        </w:rPr>
        <w:t xml:space="preserve">should be handed before the end of the second semester (around mid-June) to be graded for this course. </w:t>
      </w:r>
    </w:p>
    <w:p>
      <w:pPr>
        <w:rPr>
          <w:rFonts w:ascii="Times New Roman" w:hAnsi="Times New Roman" w:cs="Times New Roman"/>
          <w:b/>
          <w:sz w:val="28"/>
        </w:rPr>
      </w:pPr>
      <w:r>
        <w:rPr>
          <w:rFonts w:ascii="Times New Roman" w:hAnsi="Times New Roman" w:cs="Times New Roman"/>
          <w:b/>
          <w:sz w:val="28"/>
        </w:rPr>
        <w:t>Practice in Specialty</w:t>
      </w:r>
    </w:p>
    <w:p>
      <w:pPr>
        <w:rPr>
          <w:rFonts w:ascii="Times New Roman" w:hAnsi="Times New Roman" w:cs="Times New Roman"/>
          <w:sz w:val="28"/>
          <w:lang w:val="en-GB"/>
        </w:rPr>
      </w:pPr>
      <w:bookmarkStart w:id="19" w:name="_Toc521949288"/>
      <w:r>
        <w:rPr>
          <w:rFonts w:ascii="Times New Roman" w:hAnsi="Times New Roman" w:cs="Times New Roman"/>
          <w:sz w:val="28"/>
          <w:lang w:val="en-GB"/>
        </w:rPr>
        <w:t>Internship Visa Remark</w:t>
      </w:r>
    </w:p>
    <w:p>
      <w:pPr>
        <w:pStyle w:val="15"/>
        <w:numPr>
          <w:ilvl w:val="0"/>
          <w:numId w:val="2"/>
        </w:numPr>
        <w:ind w:firstLineChars="0"/>
        <w:rPr>
          <w:rFonts w:ascii="Times New Roman" w:hAnsi="Times New Roman"/>
          <w:sz w:val="28"/>
          <w:lang w:val="en-GB"/>
        </w:rPr>
      </w:pPr>
      <w:r>
        <w:rPr>
          <w:rFonts w:ascii="Times New Roman" w:hAnsi="Times New Roman"/>
          <w:sz w:val="28"/>
          <w:lang w:val="en-GB"/>
        </w:rPr>
        <w:t>Application Documents:</w:t>
      </w:r>
    </w:p>
    <w:p>
      <w:pPr>
        <w:pStyle w:val="15"/>
        <w:ind w:left="420" w:firstLine="0" w:firstLineChars="0"/>
        <w:rPr>
          <w:rFonts w:ascii="Times New Roman" w:hAnsi="Times New Roman"/>
          <w:sz w:val="28"/>
          <w:lang w:val="en-GB"/>
        </w:rPr>
      </w:pPr>
      <w:r>
        <w:rPr>
          <w:rFonts w:hint="eastAsia" w:ascii="Times New Roman" w:hAnsi="Times New Roman"/>
          <w:sz w:val="28"/>
          <w:lang w:val="en-GB"/>
        </w:rPr>
        <w:t>1</w:t>
      </w:r>
      <w:r>
        <w:rPr>
          <w:rFonts w:ascii="Times New Roman" w:hAnsi="Times New Roman"/>
          <w:sz w:val="28"/>
          <w:lang w:val="en-GB"/>
        </w:rPr>
        <w:t>. The Application Form</w:t>
      </w:r>
    </w:p>
    <w:p>
      <w:pPr>
        <w:pStyle w:val="15"/>
        <w:ind w:left="420" w:firstLine="0" w:firstLineChars="0"/>
        <w:rPr>
          <w:rFonts w:ascii="Times New Roman" w:hAnsi="Times New Roman"/>
          <w:sz w:val="28"/>
          <w:lang w:val="en-GB"/>
        </w:rPr>
      </w:pPr>
      <w:r>
        <w:rPr>
          <w:rFonts w:hint="eastAsia" w:ascii="Times New Roman" w:hAnsi="Times New Roman"/>
          <w:sz w:val="28"/>
          <w:lang w:val="en-GB"/>
        </w:rPr>
        <w:t>2</w:t>
      </w:r>
      <w:r>
        <w:rPr>
          <w:rFonts w:ascii="Times New Roman" w:hAnsi="Times New Roman"/>
          <w:sz w:val="28"/>
          <w:lang w:val="en-GB"/>
        </w:rPr>
        <w:t>. The Certificate from the Employer</w:t>
      </w:r>
    </w:p>
    <w:p>
      <w:pPr>
        <w:pStyle w:val="15"/>
        <w:ind w:left="420" w:firstLine="0" w:firstLineChars="0"/>
        <w:rPr>
          <w:rFonts w:ascii="Times New Roman" w:hAnsi="Times New Roman"/>
          <w:sz w:val="28"/>
          <w:lang w:val="en-GB"/>
        </w:rPr>
      </w:pPr>
      <w:r>
        <w:rPr>
          <w:rFonts w:hint="eastAsia" w:ascii="Times New Roman" w:hAnsi="Times New Roman"/>
          <w:sz w:val="28"/>
          <w:lang w:val="en-GB"/>
        </w:rPr>
        <w:t>3</w:t>
      </w:r>
      <w:r>
        <w:rPr>
          <w:rFonts w:ascii="Times New Roman" w:hAnsi="Times New Roman"/>
          <w:sz w:val="28"/>
          <w:lang w:val="en-GB"/>
        </w:rPr>
        <w:t>. Photocopies of your passport photo page and Residence Permit page</w:t>
      </w:r>
    </w:p>
    <w:p>
      <w:pPr>
        <w:pStyle w:val="15"/>
        <w:ind w:left="420" w:firstLine="560"/>
        <w:rPr>
          <w:rFonts w:ascii="Times New Roman" w:hAnsi="Times New Roman"/>
          <w:sz w:val="28"/>
          <w:lang w:val="en-GB"/>
        </w:rPr>
      </w:pPr>
      <w:r>
        <w:rPr>
          <w:rFonts w:hint="eastAsia" w:ascii="Times New Roman" w:hAnsi="Times New Roman"/>
          <w:sz w:val="28"/>
          <w:lang w:val="en-GB"/>
        </w:rPr>
        <w:t>4</w:t>
      </w:r>
      <w:r>
        <w:rPr>
          <w:rFonts w:ascii="Times New Roman" w:hAnsi="Times New Roman"/>
          <w:sz w:val="28"/>
          <w:lang w:val="en-GB"/>
        </w:rPr>
        <w:t>. Registration Form of Temporary Residence</w:t>
      </w:r>
    </w:p>
    <w:p>
      <w:pPr>
        <w:pStyle w:val="15"/>
        <w:numPr>
          <w:ilvl w:val="0"/>
          <w:numId w:val="2"/>
        </w:numPr>
        <w:ind w:firstLineChars="0"/>
        <w:rPr>
          <w:rFonts w:ascii="Times New Roman" w:hAnsi="Times New Roman"/>
          <w:sz w:val="28"/>
          <w:lang w:val="en-GB"/>
        </w:rPr>
      </w:pPr>
      <w:r>
        <w:rPr>
          <w:rFonts w:hint="eastAsia" w:ascii="Times New Roman" w:hAnsi="Times New Roman"/>
          <w:sz w:val="28"/>
          <w:lang w:val="en-GB"/>
        </w:rPr>
        <w:t>P</w:t>
      </w:r>
      <w:r>
        <w:rPr>
          <w:rFonts w:ascii="Times New Roman" w:hAnsi="Times New Roman"/>
          <w:sz w:val="28"/>
          <w:lang w:val="en-GB"/>
        </w:rPr>
        <w:t>rocedure: about 5 weeks</w:t>
      </w:r>
    </w:p>
    <w:p>
      <w:pPr>
        <w:rPr>
          <w:rFonts w:ascii="Times New Roman" w:hAnsi="Times New Roman"/>
          <w:sz w:val="28"/>
          <w:lang w:val="en-GB"/>
        </w:rPr>
      </w:pPr>
      <w:r>
        <w:rPr>
          <w:rFonts w:ascii="Times New Roman" w:hAnsi="Times New Roman"/>
          <w:sz w:val="28"/>
          <w:lang w:val="en-GB"/>
        </w:rPr>
        <w:t xml:space="preserve">Please refer to </w:t>
      </w:r>
      <w:r>
        <w:fldChar w:fldCharType="begin"/>
      </w:r>
      <w:r>
        <w:instrText xml:space="preserve"> HYPERLINK "https://mp.weixin.qq.com/s/EhKBSza4_DkH0dF1jIyEgQ" </w:instrText>
      </w:r>
      <w:r>
        <w:fldChar w:fldCharType="separate"/>
      </w:r>
      <w:r>
        <w:rPr>
          <w:rStyle w:val="11"/>
          <w:rFonts w:ascii="Times New Roman" w:hAnsi="Times New Roman"/>
          <w:sz w:val="28"/>
          <w:lang w:val="en-GB"/>
        </w:rPr>
        <w:t>https://mp.weixin.qq.com/s/EhKBSza4_DkH0dF1jIyEgQ</w:t>
      </w:r>
      <w:r>
        <w:rPr>
          <w:rStyle w:val="11"/>
          <w:rFonts w:ascii="Times New Roman" w:hAnsi="Times New Roman"/>
          <w:sz w:val="28"/>
          <w:lang w:val="en-GB"/>
        </w:rPr>
        <w:fldChar w:fldCharType="end"/>
      </w:r>
      <w:r>
        <w:rPr>
          <w:rFonts w:hint="eastAsia" w:ascii="Times New Roman" w:hAnsi="Times New Roman"/>
          <w:sz w:val="28"/>
          <w:lang w:val="en-GB"/>
        </w:rPr>
        <w:t xml:space="preserve"> </w:t>
      </w:r>
      <w:r>
        <w:rPr>
          <w:rFonts w:ascii="Times New Roman" w:hAnsi="Times New Roman"/>
          <w:sz w:val="28"/>
          <w:lang w:val="en-GB"/>
        </w:rPr>
        <w:t xml:space="preserve">for </w:t>
      </w:r>
      <w:r>
        <w:rPr>
          <w:rFonts w:hint="eastAsia" w:ascii="Times New Roman" w:hAnsi="Times New Roman"/>
          <w:sz w:val="28"/>
          <w:lang w:val="en-GB"/>
        </w:rPr>
        <w:t>d</w:t>
      </w:r>
      <w:r>
        <w:rPr>
          <w:rFonts w:ascii="Times New Roman" w:hAnsi="Times New Roman"/>
          <w:sz w:val="28"/>
          <w:lang w:val="en-GB"/>
        </w:rPr>
        <w:t>etailed information.</w:t>
      </w:r>
    </w:p>
    <w:p>
      <w:pPr>
        <w:pStyle w:val="2"/>
        <w:rPr>
          <w:rFonts w:ascii="Times New Roman" w:hAnsi="Times New Roman" w:cs="Times New Roman"/>
          <w:sz w:val="32"/>
          <w:lang w:val="en-GB"/>
        </w:rPr>
      </w:pPr>
      <w:bookmarkStart w:id="20" w:name="_Toc522033848"/>
      <w:r>
        <w:rPr>
          <w:rFonts w:ascii="Times New Roman" w:hAnsi="Times New Roman" w:cs="Times New Roman"/>
          <w:sz w:val="32"/>
          <w:lang w:val="en-GB"/>
        </w:rPr>
        <w:t>Course Assessment and Retaking</w:t>
      </w:r>
      <w:bookmarkEnd w:id="19"/>
      <w:bookmarkEnd w:id="20"/>
    </w:p>
    <w:p>
      <w:pPr>
        <w:rPr>
          <w:rFonts w:ascii="Times New Roman" w:hAnsi="Times New Roman" w:cs="Times New Roman"/>
          <w:b/>
          <w:sz w:val="28"/>
          <w:lang w:val="en-GB"/>
        </w:rPr>
      </w:pPr>
      <w:r>
        <w:rPr>
          <w:rFonts w:ascii="Times New Roman" w:hAnsi="Times New Roman" w:cs="Times New Roman"/>
          <w:b/>
          <w:sz w:val="28"/>
          <w:lang w:val="en-GB"/>
        </w:rPr>
        <w:t>Course Assessment</w:t>
      </w:r>
    </w:p>
    <w:p>
      <w:pPr>
        <w:rPr>
          <w:rFonts w:ascii="Times New Roman" w:hAnsi="Times New Roman" w:cs="Times New Roman"/>
          <w:sz w:val="28"/>
          <w:lang w:val="en-GB"/>
        </w:rPr>
      </w:pPr>
      <w:r>
        <w:rPr>
          <w:rFonts w:ascii="Times New Roman" w:hAnsi="Times New Roman" w:cs="Times New Roman"/>
          <w:sz w:val="28"/>
          <w:lang w:val="en-GB"/>
        </w:rPr>
        <w:t xml:space="preserve">Courses are assessed in different ways: </w:t>
      </w:r>
      <w:r>
        <w:rPr>
          <w:rFonts w:hint="eastAsia" w:ascii="Times New Roman" w:hAnsi="Times New Roman" w:cs="Times New Roman"/>
          <w:sz w:val="28"/>
          <w:lang w:val="en-GB"/>
        </w:rPr>
        <w:t>common</w:t>
      </w:r>
      <w:r>
        <w:rPr>
          <w:rFonts w:ascii="Times New Roman" w:hAnsi="Times New Roman" w:cs="Times New Roman"/>
          <w:sz w:val="28"/>
          <w:lang w:val="en-GB"/>
        </w:rPr>
        <w:t xml:space="preserve"> written exams as well as various oral, written assignments, case studies, projects, or presentations, etc. Students who fail to attend 2/3 of the </w:t>
      </w:r>
      <w:r>
        <w:rPr>
          <w:rFonts w:hint="eastAsia" w:ascii="Times New Roman" w:hAnsi="Times New Roman" w:cs="Times New Roman"/>
          <w:sz w:val="28"/>
          <w:lang w:val="en-GB"/>
        </w:rPr>
        <w:t>lectures</w:t>
      </w:r>
      <w:r>
        <w:rPr>
          <w:rFonts w:ascii="Times New Roman" w:hAnsi="Times New Roman" w:cs="Times New Roman"/>
          <w:sz w:val="28"/>
          <w:lang w:val="en-GB"/>
        </w:rPr>
        <w:t xml:space="preserve"> are not allowed to attend the final exam, and are not entitled to get the course credit. SJTU graduate courses’ exam-score employs ten grade systems from A to D</w:t>
      </w:r>
      <w:r>
        <w:rPr>
          <w:rFonts w:hint="eastAsia" w:ascii="Times New Roman" w:hAnsi="Times New Roman" w:cs="Times New Roman"/>
          <w:sz w:val="28"/>
          <w:lang w:val="en-GB"/>
        </w:rPr>
        <w:t>.</w:t>
      </w:r>
      <w:r>
        <w:rPr>
          <w:rFonts w:ascii="Times New Roman" w:hAnsi="Times New Roman" w:cs="Times New Roman"/>
          <w:sz w:val="28"/>
          <w:lang w:val="en-GB"/>
        </w:rPr>
        <w:t xml:space="preserve"> </w:t>
      </w:r>
      <w:r>
        <w:rPr>
          <w:rFonts w:hint="eastAsia" w:ascii="Times New Roman" w:hAnsi="Times New Roman" w:cs="Times New Roman"/>
          <w:sz w:val="28"/>
          <w:lang w:val="en-GB"/>
        </w:rPr>
        <w:t>T</w:t>
      </w:r>
      <w:r>
        <w:rPr>
          <w:rFonts w:ascii="Times New Roman" w:hAnsi="Times New Roman" w:cs="Times New Roman"/>
          <w:sz w:val="28"/>
          <w:lang w:val="en-GB"/>
        </w:rPr>
        <w:t xml:space="preserve">he </w:t>
      </w:r>
      <w:r>
        <w:rPr>
          <w:rFonts w:hint="eastAsia" w:ascii="Times New Roman" w:hAnsi="Times New Roman" w:cs="Times New Roman"/>
          <w:sz w:val="28"/>
          <w:lang w:val="en-GB"/>
        </w:rPr>
        <w:t>grade</w:t>
      </w:r>
      <w:r>
        <w:rPr>
          <w:rFonts w:ascii="Times New Roman" w:hAnsi="Times New Roman" w:cs="Times New Roman"/>
          <w:sz w:val="28"/>
          <w:lang w:val="en-GB"/>
        </w:rPr>
        <w:t xml:space="preserve"> table can be shown below:</w:t>
      </w:r>
    </w:p>
    <w:p>
      <w:pPr>
        <w:rPr>
          <w:rFonts w:ascii="Times New Roman" w:hAnsi="Times New Roman" w:cs="Times New Roman"/>
          <w:sz w:val="28"/>
          <w:lang w:val="en-GB"/>
        </w:rPr>
      </w:pPr>
      <w:r>
        <w:rPr>
          <w:rFonts w:ascii="Times New Roman" w:hAnsi="Times New Roman" w:cs="Times New Roman"/>
          <w:sz w:val="28"/>
          <w:lang w:val="en-GB"/>
        </w:rPr>
        <w:t>Grading System for Graduate Students</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Chinese Grades</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Letter Grades</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Grade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95~100</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90~94</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85~89</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A-</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82~84</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78~81</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B</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75~77</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B-</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lang w:val="en-GB"/>
              </w:rPr>
            </w:pPr>
            <w:r>
              <w:rPr>
                <w:rFonts w:ascii="Times New Roman" w:hAnsi="Times New Roman" w:cs="Times New Roman"/>
                <w:b/>
                <w:lang w:val="en-GB"/>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hint="eastAsia" w:ascii="Times New Roman" w:hAnsi="Times New Roman" w:cs="Times New Roman"/>
                <w:lang w:val="en-GB"/>
              </w:rPr>
              <w:t>71~74</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hint="eastAsia" w:ascii="Times New Roman" w:hAnsi="Times New Roman" w:cs="Times New Roman"/>
                <w:lang w:val="en-GB"/>
              </w:rPr>
              <w:t>C+</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hint="eastAsia" w:ascii="Times New Roman" w:hAnsi="Times New Roman" w:cs="Times New Roman"/>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67~70</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63~66</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C-</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60~62</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D</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0~59</w:t>
            </w:r>
          </w:p>
        </w:tc>
        <w:tc>
          <w:tcPr>
            <w:tcW w:w="276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F (Failure)</w:t>
            </w:r>
          </w:p>
        </w:tc>
        <w:tc>
          <w:tcPr>
            <w:tcW w:w="276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val="en-GB"/>
              </w:rPr>
            </w:pPr>
            <w:r>
              <w:rPr>
                <w:rFonts w:ascii="Times New Roman" w:hAnsi="Times New Roman" w:cs="Times New Roman"/>
                <w:lang w:val="en-GB"/>
              </w:rPr>
              <w:t>0</w:t>
            </w:r>
          </w:p>
        </w:tc>
      </w:tr>
    </w:tbl>
    <w:p>
      <w:pPr>
        <w:jc w:val="center"/>
        <w:rPr>
          <w:rFonts w:ascii="Times New Roman" w:hAnsi="Times New Roman" w:cs="Times New Roman"/>
          <w:sz w:val="28"/>
          <w:lang w:val="en-GB"/>
        </w:rPr>
      </w:pPr>
      <w:r>
        <w:rPr>
          <w:rFonts w:ascii="Times New Roman" w:hAnsi="Times New Roman" w:cs="Times New Roman"/>
          <w:sz w:val="28"/>
          <w:lang w:val="en-GB"/>
        </w:rPr>
        <w:t>GPA= ∑(course credit *point)/∑ course credit</w:t>
      </w:r>
    </w:p>
    <w:p>
      <w:pPr>
        <w:rPr>
          <w:rFonts w:ascii="Times New Roman" w:hAnsi="Times New Roman" w:cs="Times New Roman"/>
          <w:sz w:val="28"/>
          <w:lang w:val="en-GB"/>
        </w:rPr>
      </w:pPr>
      <w:r>
        <w:rPr>
          <w:rFonts w:ascii="Times New Roman" w:hAnsi="Times New Roman" w:cs="Times New Roman"/>
          <w:b/>
          <w:sz w:val="28"/>
          <w:lang w:val="en-GB"/>
        </w:rPr>
        <w:t>Note</w:t>
      </w:r>
      <w:r>
        <w:rPr>
          <w:rFonts w:ascii="Times New Roman" w:hAnsi="Times New Roman" w:cs="Times New Roman"/>
          <w:sz w:val="28"/>
          <w:lang w:val="en-GB"/>
        </w:rPr>
        <w:t xml:space="preserve">: Students should follow the teachers’ special requirements of course assessment. </w:t>
      </w:r>
      <w:r>
        <w:rPr>
          <w:rFonts w:ascii="Times New Roman" w:hAnsi="Times New Roman"/>
          <w:sz w:val="28"/>
          <w:lang w:val="en-GB"/>
        </w:rPr>
        <w:t>Plagiarism is strictly prohibited in LCC and any plagiarism behaviour in course assignment or exam, once found, will be penalized according to the university rule.</w:t>
      </w:r>
    </w:p>
    <w:p>
      <w:pPr>
        <w:rPr>
          <w:rFonts w:ascii="Times New Roman" w:hAnsi="Times New Roman" w:cs="Times New Roman"/>
          <w:b/>
          <w:sz w:val="28"/>
          <w:lang w:val="en-GB"/>
        </w:rPr>
      </w:pPr>
    </w:p>
    <w:p>
      <w:pPr>
        <w:rPr>
          <w:rFonts w:ascii="Times New Roman" w:hAnsi="Times New Roman" w:cs="Times New Roman"/>
          <w:b/>
          <w:sz w:val="28"/>
          <w:lang w:val="en-GB"/>
        </w:rPr>
      </w:pPr>
      <w:r>
        <w:rPr>
          <w:rFonts w:ascii="Times New Roman" w:hAnsi="Times New Roman" w:cs="Times New Roman"/>
          <w:b/>
          <w:sz w:val="28"/>
          <w:lang w:val="en-GB"/>
        </w:rPr>
        <w:t>Course Retaking</w:t>
      </w:r>
    </w:p>
    <w:p>
      <w:pPr>
        <w:rPr>
          <w:rFonts w:ascii="Times New Roman" w:hAnsi="Times New Roman" w:cs="Times New Roman"/>
          <w:sz w:val="28"/>
          <w:lang w:val="en-GB"/>
        </w:rPr>
      </w:pPr>
      <w:bookmarkStart w:id="21" w:name="_Toc521949289"/>
      <w:r>
        <w:rPr>
          <w:rFonts w:ascii="Times New Roman" w:hAnsi="Times New Roman" w:cs="Times New Roman"/>
          <w:sz w:val="28"/>
          <w:lang w:val="en-GB"/>
        </w:rPr>
        <w:t>A student who has failed a course (including degree &amp; non-degree course) has the right to apply for retake. The students whose average GPA grade is lower than the standard of 2.7 are allowed to retake one or two degree courses which is under B- (not including B-). Students are not allowed to retake the same course more than two times.</w:t>
      </w:r>
    </w:p>
    <w:p>
      <w:pPr>
        <w:rPr>
          <w:rFonts w:ascii="Times New Roman" w:hAnsi="Times New Roman" w:cs="Times New Roman"/>
          <w:sz w:val="28"/>
          <w:lang w:val="en-GB"/>
        </w:rPr>
      </w:pPr>
      <w:r>
        <w:rPr>
          <w:rFonts w:ascii="Times New Roman" w:hAnsi="Times New Roman" w:cs="Times New Roman"/>
          <w:sz w:val="28"/>
          <w:lang w:val="en-GB"/>
        </w:rPr>
        <w:t>To retake the courses, students should fill ‘Shanghai Jiao Tong University Graduate Courses Retaking Application Form’ and submit to Teaching Administration Office within two weeks after the beginning of every semester.</w:t>
      </w:r>
    </w:p>
    <w:p>
      <w:pPr>
        <w:pStyle w:val="2"/>
        <w:rPr>
          <w:rFonts w:ascii="Times New Roman" w:hAnsi="Times New Roman" w:cs="Times New Roman"/>
          <w:sz w:val="32"/>
          <w:lang w:val="en-GB"/>
        </w:rPr>
      </w:pPr>
      <w:bookmarkStart w:id="22" w:name="_Toc522033849"/>
      <w:r>
        <w:rPr>
          <w:rFonts w:ascii="Times New Roman" w:hAnsi="Times New Roman" w:cs="Times New Roman"/>
          <w:sz w:val="32"/>
          <w:lang w:val="en-GB"/>
        </w:rPr>
        <w:t>Double-master Programme</w:t>
      </w:r>
      <w:bookmarkEnd w:id="21"/>
      <w:bookmarkEnd w:id="22"/>
      <w:r>
        <w:rPr>
          <w:rFonts w:ascii="Times New Roman" w:hAnsi="Times New Roman" w:cs="Times New Roman"/>
          <w:sz w:val="32"/>
          <w:lang w:val="en-GB"/>
        </w:rPr>
        <w:t xml:space="preserve">  </w:t>
      </w:r>
    </w:p>
    <w:p>
      <w:pPr>
        <w:rPr>
          <w:rFonts w:ascii="Times New Roman" w:hAnsi="Times New Roman" w:cs="Times New Roman"/>
          <w:b/>
          <w:sz w:val="28"/>
          <w:lang w:val="en-GB"/>
        </w:rPr>
      </w:pPr>
      <w:r>
        <w:rPr>
          <w:rFonts w:ascii="Times New Roman" w:hAnsi="Times New Roman" w:cs="Times New Roman"/>
          <w:b/>
          <w:sz w:val="28"/>
          <w:lang w:val="en-GB"/>
        </w:rPr>
        <w:t>University of Edinburgh (UoE) Major</w:t>
      </w:r>
    </w:p>
    <w:p>
      <w:pPr>
        <w:rPr>
          <w:rFonts w:ascii="Times New Roman" w:hAnsi="Times New Roman" w:cs="Times New Roman"/>
          <w:b/>
          <w:sz w:val="28"/>
          <w:szCs w:val="28"/>
          <w:lang w:val="en-GB"/>
        </w:rPr>
      </w:pPr>
      <w:r>
        <w:rPr>
          <w:rFonts w:ascii="Times New Roman" w:hAnsi="Times New Roman" w:cs="Times New Roman"/>
          <w:b/>
          <w:sz w:val="28"/>
          <w:szCs w:val="28"/>
          <w:lang w:val="en-GB"/>
        </w:rPr>
        <w:t xml:space="preserve">MSc Carbon Finance </w:t>
      </w:r>
    </w:p>
    <w:p>
      <w:pPr>
        <w:rPr>
          <w:rFonts w:ascii="Times New Roman" w:hAnsi="Times New Roman" w:cs="Times New Roman"/>
          <w:sz w:val="28"/>
          <w:szCs w:val="28"/>
          <w:lang w:val="en-GB"/>
        </w:rPr>
      </w:pPr>
      <w:bookmarkStart w:id="23" w:name="OLE_LINK1"/>
      <w:bookmarkStart w:id="24" w:name="OLE_LINK2"/>
      <w:r>
        <w:rPr>
          <w:rFonts w:ascii="Times New Roman" w:hAnsi="Times New Roman" w:cs="Times New Roman"/>
          <w:i/>
          <w:sz w:val="28"/>
          <w:szCs w:val="28"/>
          <w:lang w:val="en-GB"/>
        </w:rPr>
        <w:t>Compulsory courses</w:t>
      </w:r>
      <w:bookmarkEnd w:id="23"/>
      <w:bookmarkEnd w:id="24"/>
      <w:r>
        <w:rPr>
          <w:rFonts w:ascii="Times New Roman" w:hAnsi="Times New Roman" w:cs="Times New Roman"/>
          <w:sz w:val="28"/>
          <w:szCs w:val="28"/>
          <w:lang w:val="en-GB"/>
        </w:rPr>
        <w:t>: Carbon Markets; Carbon and Environmental Accounting; Climate Change and Environmental Policy; Energy Finance;</w:t>
      </w:r>
      <w:r>
        <w:rPr>
          <w:rFonts w:hint="eastAsia"/>
          <w:lang w:val="en-GB"/>
        </w:rPr>
        <w:t xml:space="preserve"> </w:t>
      </w:r>
      <w:r>
        <w:rPr>
          <w:rFonts w:ascii="Times New Roman" w:hAnsi="Times New Roman" w:cs="Times New Roman"/>
          <w:sz w:val="28"/>
          <w:szCs w:val="28"/>
          <w:lang w:val="en-GB"/>
        </w:rPr>
        <w:t>Carbon and Environmental Consulting Project; Low Carbon and Green Investment; Research Methods in Carbon Finance.</w:t>
      </w:r>
    </w:p>
    <w:p>
      <w:pPr>
        <w:rPr>
          <w:rFonts w:ascii="Times New Roman" w:hAnsi="Times New Roman" w:cs="Times New Roman"/>
          <w:sz w:val="28"/>
          <w:szCs w:val="28"/>
          <w:lang w:val="en-GB"/>
        </w:rPr>
      </w:pPr>
      <w:bookmarkStart w:id="25" w:name="OLE_LINK3"/>
      <w:r>
        <w:rPr>
          <w:rFonts w:ascii="Times New Roman" w:hAnsi="Times New Roman" w:cs="Times New Roman"/>
          <w:i/>
          <w:sz w:val="28"/>
          <w:szCs w:val="28"/>
          <w:lang w:val="en-GB"/>
        </w:rPr>
        <w:t>Optional Courses</w:t>
      </w:r>
      <w:bookmarkEnd w:id="25"/>
      <w:r>
        <w:rPr>
          <w:rFonts w:ascii="Times New Roman" w:hAnsi="Times New Roman" w:cs="Times New Roman"/>
          <w:sz w:val="28"/>
          <w:szCs w:val="28"/>
          <w:lang w:val="en-GB"/>
        </w:rPr>
        <w:t>:</w:t>
      </w:r>
      <w:r>
        <w:rPr>
          <w:rFonts w:hint="eastAsia"/>
          <w:lang w:val="en-GB"/>
        </w:rPr>
        <w:t xml:space="preserve"> </w:t>
      </w:r>
      <w:r>
        <w:rPr>
          <w:rFonts w:ascii="Times New Roman" w:hAnsi="Times New Roman" w:cs="Times New Roman"/>
          <w:sz w:val="28"/>
          <w:szCs w:val="28"/>
          <w:lang w:val="en-GB"/>
        </w:rPr>
        <w:t>Baseline-and-Credit Methods and Applications; Behavioural Finance; Corporate Governance; Global Financial Markets and Emerging Economies; Investment Management; Organising for Social Change: Strategy, Governance &amp; Innovation.</w:t>
      </w:r>
    </w:p>
    <w:p>
      <w:pPr>
        <w:rPr>
          <w:rFonts w:ascii="Times New Roman" w:hAnsi="Times New Roman" w:cs="Times New Roman"/>
          <w:b/>
          <w:sz w:val="28"/>
          <w:szCs w:val="28"/>
          <w:lang w:val="en-GB"/>
        </w:rPr>
      </w:pPr>
      <w:r>
        <w:rPr>
          <w:rFonts w:ascii="Times New Roman" w:hAnsi="Times New Roman" w:cs="Times New Roman"/>
          <w:b/>
          <w:sz w:val="28"/>
          <w:szCs w:val="28"/>
          <w:lang w:val="en-GB"/>
        </w:rPr>
        <w:t>MSc Carbon Management</w:t>
      </w:r>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Business and Climate Change; Carbon Economics;</w:t>
      </w:r>
      <w:r>
        <w:rPr>
          <w:rFonts w:hint="eastAsia"/>
          <w:lang w:val="en-GB"/>
        </w:rPr>
        <w:t xml:space="preserve"> </w:t>
      </w:r>
      <w:r>
        <w:rPr>
          <w:rFonts w:ascii="Times New Roman" w:hAnsi="Times New Roman" w:cs="Times New Roman"/>
          <w:sz w:val="28"/>
          <w:szCs w:val="28"/>
          <w:lang w:val="en-GB"/>
        </w:rPr>
        <w:t>Climate Change Impacts and Adaptation;</w:t>
      </w:r>
      <w:r>
        <w:rPr>
          <w:rFonts w:hint="eastAsia"/>
          <w:lang w:val="en-GB"/>
        </w:rPr>
        <w:t xml:space="preserve"> </w:t>
      </w:r>
      <w:r>
        <w:rPr>
          <w:rFonts w:ascii="Times New Roman" w:hAnsi="Times New Roman" w:cs="Times New Roman"/>
          <w:sz w:val="28"/>
          <w:szCs w:val="28"/>
          <w:lang w:val="en-GB"/>
        </w:rPr>
        <w:t>Applied Carbon Methods;</w:t>
      </w:r>
      <w:r>
        <w:rPr>
          <w:rFonts w:hint="eastAsia"/>
          <w:lang w:val="en-GB"/>
        </w:rPr>
        <w:t xml:space="preserve"> </w:t>
      </w:r>
      <w:r>
        <w:rPr>
          <w:rFonts w:ascii="Times New Roman" w:hAnsi="Times New Roman" w:cs="Times New Roman"/>
          <w:sz w:val="28"/>
          <w:szCs w:val="28"/>
          <w:lang w:val="en-GB"/>
        </w:rPr>
        <w:t>Climate Change Management.</w:t>
      </w:r>
    </w:p>
    <w:p>
      <w:pPr>
        <w:rPr>
          <w:rFonts w:ascii="Times New Roman" w:hAnsi="Times New Roman" w:cs="Times New Roman"/>
          <w:b/>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w:t>
      </w:r>
      <w:r>
        <w:rPr>
          <w:rFonts w:hint="eastAsia"/>
          <w:lang w:val="en-GB"/>
        </w:rPr>
        <w:t xml:space="preserve"> </w:t>
      </w:r>
      <w:r>
        <w:rPr>
          <w:rFonts w:ascii="Times New Roman" w:hAnsi="Times New Roman" w:cs="Times New Roman"/>
          <w:sz w:val="28"/>
          <w:szCs w:val="28"/>
          <w:lang w:val="en-GB"/>
        </w:rPr>
        <w:t>Water Resource Management;</w:t>
      </w:r>
      <w:r>
        <w:rPr>
          <w:rFonts w:hint="eastAsia"/>
          <w:lang w:val="en-GB"/>
        </w:rPr>
        <w:t xml:space="preserve"> </w:t>
      </w:r>
      <w:r>
        <w:rPr>
          <w:rFonts w:ascii="Times New Roman" w:hAnsi="Times New Roman" w:cs="Times New Roman"/>
          <w:sz w:val="28"/>
          <w:szCs w:val="28"/>
          <w:lang w:val="en-GB"/>
        </w:rPr>
        <w:t>Waste Reduction and Recycling; Marine Infrastructure and Environmental Change;</w:t>
      </w:r>
      <w:r>
        <w:rPr>
          <w:rFonts w:hint="eastAsia"/>
          <w:lang w:val="en-GB"/>
        </w:rPr>
        <w:t xml:space="preserve"> </w:t>
      </w:r>
      <w:r>
        <w:rPr>
          <w:rFonts w:ascii="Times New Roman" w:hAnsi="Times New Roman" w:cs="Times New Roman"/>
          <w:sz w:val="28"/>
          <w:szCs w:val="28"/>
          <w:lang w:val="en-GB"/>
        </w:rPr>
        <w:t>Forests and Environment;</w:t>
      </w:r>
      <w:r>
        <w:rPr>
          <w:rFonts w:hint="eastAsia"/>
          <w:lang w:val="en-GB"/>
        </w:rPr>
        <w:t xml:space="preserve"> </w:t>
      </w:r>
      <w:r>
        <w:rPr>
          <w:rFonts w:ascii="Times New Roman" w:hAnsi="Times New Roman" w:cs="Times New Roman"/>
          <w:sz w:val="28"/>
          <w:szCs w:val="28"/>
          <w:lang w:val="en-GB"/>
        </w:rPr>
        <w:t xml:space="preserve">International Climate Change Law; etc. </w:t>
      </w:r>
    </w:p>
    <w:p>
      <w:pPr>
        <w:rPr>
          <w:rFonts w:ascii="Times New Roman" w:hAnsi="Times New Roman" w:cs="Times New Roman"/>
          <w:b/>
          <w:sz w:val="28"/>
          <w:szCs w:val="28"/>
          <w:lang w:val="en-GB"/>
        </w:rPr>
      </w:pPr>
      <w:bookmarkStart w:id="26" w:name="OLE_LINK5"/>
      <w:bookmarkStart w:id="27" w:name="OLE_LINK4"/>
      <w:r>
        <w:rPr>
          <w:rFonts w:ascii="Times New Roman" w:hAnsi="Times New Roman" w:cs="Times New Roman"/>
          <w:b/>
          <w:sz w:val="28"/>
          <w:szCs w:val="28"/>
          <w:lang w:val="en-GB"/>
        </w:rPr>
        <w:t xml:space="preserve">MSc Sustainable Energy System </w:t>
      </w:r>
      <w:bookmarkEnd w:id="26"/>
      <w:bookmarkEnd w:id="27"/>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Technologies for Sustainable Energy; Energy and Environmental Economics; Sustainable Energy Contexts; Sustainable Energy Group Design Project.</w:t>
      </w:r>
    </w:p>
    <w:p>
      <w:pPr>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Electrical Engineering; Fundamentals of Renewable Energy; Mechanical Engineering; Fundamentals of Renewable Energy.</w:t>
      </w:r>
      <w:r>
        <w:rPr>
          <w:rFonts w:hint="eastAsia"/>
          <w:lang w:val="en-GB"/>
        </w:rPr>
        <w:t xml:space="preserve"> </w:t>
      </w:r>
    </w:p>
    <w:p>
      <w:pPr>
        <w:rPr>
          <w:rFonts w:ascii="Times New Roman" w:hAnsi="Times New Roman" w:cs="Times New Roman"/>
          <w:b/>
          <w:sz w:val="28"/>
          <w:szCs w:val="28"/>
          <w:lang w:val="en-GB"/>
        </w:rPr>
      </w:pPr>
      <w:bookmarkStart w:id="28" w:name="OLE_LINK6"/>
      <w:r>
        <w:rPr>
          <w:rFonts w:ascii="Times New Roman" w:hAnsi="Times New Roman" w:cs="Times New Roman"/>
          <w:b/>
          <w:sz w:val="28"/>
          <w:szCs w:val="28"/>
          <w:lang w:val="en-GB"/>
        </w:rPr>
        <w:t>MSc Applied Geoscience (GeoEnergy)</w:t>
      </w:r>
      <w:bookmarkEnd w:id="28"/>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 Future GeoEnergy Resources; Applied Hydrogeology and Near surface Geophysics; Hydrogeology 2; Environmental Geochemistry; Project Design and Literature Analysis; Carbon Storage and Monitoring.</w:t>
      </w:r>
    </w:p>
    <w:p>
      <w:pPr>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Ore Mineralogy, Petrology &amp; Geochemistry; Seismic Reflection Interpretation; Environmental Problems and Issues; Nuclear Waste Management: Principles; Policies &amp; Practice.</w:t>
      </w:r>
    </w:p>
    <w:p>
      <w:pPr>
        <w:rPr>
          <w:rFonts w:ascii="Times New Roman" w:hAnsi="Times New Roman" w:cs="Times New Roman"/>
          <w:b/>
          <w:sz w:val="28"/>
          <w:szCs w:val="28"/>
          <w:lang w:val="en-GB"/>
        </w:rPr>
      </w:pPr>
      <w:r>
        <w:rPr>
          <w:rFonts w:ascii="Times New Roman" w:hAnsi="Times New Roman" w:cs="Times New Roman"/>
          <w:b/>
          <w:sz w:val="28"/>
          <w:szCs w:val="28"/>
          <w:lang w:val="en-GB"/>
        </w:rPr>
        <w:t>MSc Energy, Society and Sustainability</w:t>
      </w:r>
    </w:p>
    <w:p>
      <w:pPr>
        <w:rPr>
          <w:rFonts w:ascii="Times New Roman" w:hAnsi="Times New Roman" w:cs="Times New Roman"/>
          <w:sz w:val="28"/>
          <w:szCs w:val="28"/>
          <w:lang w:val="en-GB"/>
        </w:rPr>
      </w:pPr>
      <w:r>
        <w:rPr>
          <w:rFonts w:ascii="Times New Roman" w:hAnsi="Times New Roman" w:cs="Times New Roman"/>
          <w:i/>
          <w:sz w:val="28"/>
          <w:szCs w:val="28"/>
          <w:lang w:val="en-GB"/>
        </w:rPr>
        <w:t>Compulsory courses</w:t>
      </w:r>
      <w:r>
        <w:rPr>
          <w:rFonts w:ascii="Times New Roman" w:hAnsi="Times New Roman" w:cs="Times New Roman"/>
          <w:sz w:val="28"/>
          <w:szCs w:val="28"/>
          <w:lang w:val="en-GB"/>
        </w:rPr>
        <w:t>:Energy and Society I: Key themes and issues; Energy in the Global South; Energy and Society II: Methods and applications; Energy Policy and Politics.</w:t>
      </w:r>
    </w:p>
    <w:p>
      <w:pPr>
        <w:rPr>
          <w:rFonts w:ascii="Times New Roman" w:hAnsi="Times New Roman" w:cs="Times New Roman"/>
          <w:sz w:val="28"/>
          <w:szCs w:val="28"/>
          <w:lang w:val="en-GB"/>
        </w:rPr>
      </w:pPr>
      <w:r>
        <w:rPr>
          <w:rFonts w:ascii="Times New Roman" w:hAnsi="Times New Roman" w:cs="Times New Roman"/>
          <w:i/>
          <w:sz w:val="28"/>
          <w:szCs w:val="28"/>
          <w:lang w:val="en-GB"/>
        </w:rPr>
        <w:t>Optional Courses</w:t>
      </w:r>
      <w:r>
        <w:rPr>
          <w:rFonts w:ascii="Times New Roman" w:hAnsi="Times New Roman" w:cs="Times New Roman"/>
          <w:sz w:val="28"/>
          <w:szCs w:val="28"/>
          <w:lang w:val="en-GB"/>
        </w:rPr>
        <w:t>: Technologies for Sustainable Energy; Energy and Environmental Economics; Global Environment: Key issues;</w:t>
      </w:r>
      <w:r>
        <w:rPr>
          <w:rFonts w:hint="eastAsia"/>
          <w:lang w:val="en-GB"/>
        </w:rPr>
        <w:t xml:space="preserve"> </w:t>
      </w:r>
      <w:r>
        <w:rPr>
          <w:rFonts w:ascii="Times New Roman" w:hAnsi="Times New Roman" w:cs="Times New Roman"/>
          <w:sz w:val="28"/>
          <w:szCs w:val="28"/>
          <w:lang w:val="en-GB"/>
        </w:rPr>
        <w:t xml:space="preserve">Global Environmental Politics; etc. </w:t>
      </w:r>
    </w:p>
    <w:p>
      <w:pPr>
        <w:rPr>
          <w:rFonts w:ascii="Times New Roman" w:hAnsi="Times New Roman" w:cs="Times New Roman"/>
          <w:sz w:val="28"/>
          <w:szCs w:val="28"/>
          <w:lang w:val="en-GB"/>
        </w:rPr>
      </w:pPr>
      <w:r>
        <w:rPr>
          <w:rFonts w:ascii="Times New Roman" w:hAnsi="Times New Roman" w:cs="Times New Roman"/>
          <w:sz w:val="28"/>
          <w:szCs w:val="28"/>
          <w:lang w:val="en-GB"/>
        </w:rPr>
        <w:t>Students who want to apply for the Double-master Programme should meet the language requirements.</w:t>
      </w:r>
    </w:p>
    <w:p>
      <w:pPr>
        <w:pStyle w:val="2"/>
        <w:rPr>
          <w:rFonts w:ascii="Times New Roman" w:hAnsi="Times New Roman" w:cs="Times New Roman"/>
          <w:sz w:val="32"/>
          <w:lang w:val="en-GB"/>
        </w:rPr>
      </w:pPr>
      <w:bookmarkStart w:id="29" w:name="_Toc521949290"/>
      <w:bookmarkStart w:id="30" w:name="_Toc522033850"/>
      <w:r>
        <w:rPr>
          <w:rFonts w:ascii="Times New Roman" w:hAnsi="Times New Roman" w:cs="Times New Roman"/>
          <w:sz w:val="32"/>
          <w:lang w:val="en-GB"/>
        </w:rPr>
        <w:t>Process Management</w:t>
      </w:r>
      <w:bookmarkEnd w:id="29"/>
      <w:bookmarkEnd w:id="30"/>
      <w:r>
        <w:rPr>
          <w:rFonts w:ascii="Times New Roman" w:hAnsi="Times New Roman" w:cs="Times New Roman"/>
          <w:sz w:val="32"/>
          <w:lang w:val="en-GB"/>
        </w:rPr>
        <w:t xml:space="preserve"> </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b/>
                <w:sz w:val="24"/>
                <w:szCs w:val="24"/>
                <w:lang w:val="en-GB"/>
              </w:rPr>
            </w:pPr>
            <w:r>
              <w:rPr>
                <w:rFonts w:ascii="Times New Roman" w:hAnsi="Times New Roman" w:cs="Times New Roman"/>
                <w:b/>
                <w:sz w:val="24"/>
                <w:szCs w:val="24"/>
                <w:lang w:val="en-GB"/>
              </w:rPr>
              <w:t>Issue</w:t>
            </w:r>
          </w:p>
        </w:tc>
        <w:tc>
          <w:tcPr>
            <w:tcW w:w="560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4"/>
                <w:szCs w:val="24"/>
                <w:lang w:val="en-GB"/>
              </w:rPr>
            </w:pPr>
            <w:r>
              <w:rPr>
                <w:rFonts w:ascii="Times New Roman" w:hAnsi="Times New Roman" w:cs="Times New Roman"/>
                <w:b/>
                <w:sz w:val="24"/>
                <w:szCs w:val="24"/>
                <w:lang w:val="en-GB"/>
              </w:rPr>
              <w:t>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2"/>
                <w:szCs w:val="24"/>
                <w:lang w:val="en-GB"/>
              </w:rPr>
            </w:pPr>
            <w:r>
              <w:rPr>
                <w:rFonts w:ascii="Times New Roman" w:hAnsi="Times New Roman" w:cs="Times New Roman"/>
                <w:sz w:val="22"/>
                <w:szCs w:val="24"/>
                <w:lang w:val="en-GB"/>
              </w:rPr>
              <w:t>Personal Study Plan</w:t>
            </w:r>
          </w:p>
        </w:tc>
        <w:tc>
          <w:tcPr>
            <w:tcW w:w="560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2"/>
                <w:szCs w:val="24"/>
                <w:lang w:val="en-GB"/>
              </w:rPr>
            </w:pPr>
            <w:r>
              <w:rPr>
                <w:rFonts w:ascii="Times New Roman" w:hAnsi="Times New Roman" w:cs="Times New Roman"/>
                <w:sz w:val="22"/>
                <w:szCs w:val="24"/>
                <w:lang w:val="en-GB"/>
              </w:rPr>
              <w:t>Draw up the personal study plan within the first month of the 1st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2"/>
                <w:szCs w:val="24"/>
                <w:lang w:val="en-GB"/>
              </w:rPr>
            </w:pPr>
            <w:r>
              <w:rPr>
                <w:rFonts w:ascii="Times New Roman" w:hAnsi="Times New Roman" w:cs="Times New Roman"/>
                <w:sz w:val="22"/>
                <w:szCs w:val="24"/>
                <w:lang w:val="en-GB"/>
              </w:rPr>
              <w:t>Enrolment Selection to The University of Edinburgh</w:t>
            </w:r>
          </w:p>
        </w:tc>
        <w:tc>
          <w:tcPr>
            <w:tcW w:w="560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2"/>
                <w:szCs w:val="24"/>
                <w:lang w:val="en-GB"/>
              </w:rPr>
            </w:pPr>
            <w:r>
              <w:rPr>
                <w:rFonts w:ascii="Times New Roman" w:hAnsi="Times New Roman" w:cs="Times New Roman"/>
                <w:sz w:val="22"/>
                <w:szCs w:val="24"/>
                <w:lang w:val="en-GB"/>
              </w:rPr>
              <w:t>The enrolment selection will be processed by the University of Edinburgh in the middle of the 2nd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2"/>
                <w:szCs w:val="24"/>
                <w:lang w:val="en-GB"/>
              </w:rPr>
            </w:pPr>
            <w:r>
              <w:rPr>
                <w:rFonts w:ascii="Times New Roman" w:hAnsi="Times New Roman" w:cs="Times New Roman"/>
                <w:sz w:val="22"/>
                <w:szCs w:val="24"/>
                <w:lang w:val="en-GB"/>
              </w:rPr>
              <w:t>Mid-term Evaluation</w:t>
            </w:r>
          </w:p>
        </w:tc>
        <w:tc>
          <w:tcPr>
            <w:tcW w:w="560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2"/>
                <w:szCs w:val="24"/>
                <w:lang w:val="en-GB"/>
              </w:rPr>
            </w:pPr>
            <w:r>
              <w:rPr>
                <w:rFonts w:ascii="Times New Roman" w:hAnsi="Times New Roman" w:cs="Times New Roman"/>
                <w:sz w:val="22"/>
                <w:szCs w:val="24"/>
                <w:lang w:val="en-GB"/>
              </w:rPr>
              <w:t>The mid-term evaluation will be held at the end of the 3rd semester. Student who failed in the evaluation will not be allowed to start his or her dissertation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2"/>
                <w:szCs w:val="24"/>
                <w:lang w:val="en-GB"/>
              </w:rPr>
            </w:pPr>
            <w:r>
              <w:rPr>
                <w:rFonts w:ascii="Times New Roman" w:hAnsi="Times New Roman" w:cs="Times New Roman"/>
                <w:sz w:val="22"/>
                <w:szCs w:val="24"/>
                <w:lang w:val="en-GB"/>
              </w:rPr>
              <w:t>Dissertation Proposal Presentation</w:t>
            </w:r>
          </w:p>
        </w:tc>
        <w:tc>
          <w:tcPr>
            <w:tcW w:w="560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2"/>
                <w:szCs w:val="24"/>
                <w:lang w:val="en-GB"/>
              </w:rPr>
            </w:pPr>
            <w:r>
              <w:rPr>
                <w:rFonts w:ascii="Times New Roman" w:hAnsi="Times New Roman" w:cs="Times New Roman"/>
                <w:sz w:val="22"/>
                <w:szCs w:val="24"/>
                <w:lang w:val="en-GB"/>
              </w:rPr>
              <w:t>The dissertation proposal presentation will be at the end of the 3rd semester. Student who failed in the presentation will have to retake it at the end of the fourth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2"/>
                <w:szCs w:val="24"/>
                <w:lang w:val="en-GB"/>
              </w:rPr>
            </w:pPr>
            <w:r>
              <w:rPr>
                <w:rFonts w:ascii="Times New Roman" w:hAnsi="Times New Roman" w:cs="Times New Roman"/>
                <w:sz w:val="22"/>
                <w:szCs w:val="24"/>
                <w:lang w:val="en-GB"/>
              </w:rPr>
              <w:t>Dissertation Review and Defence</w:t>
            </w:r>
          </w:p>
        </w:tc>
        <w:tc>
          <w:tcPr>
            <w:tcW w:w="560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2"/>
                <w:szCs w:val="24"/>
                <w:lang w:val="en-GB"/>
              </w:rPr>
            </w:pPr>
            <w:r>
              <w:rPr>
                <w:rFonts w:ascii="Times New Roman" w:hAnsi="Times New Roman" w:cs="Times New Roman"/>
                <w:sz w:val="22"/>
                <w:szCs w:val="24"/>
                <w:lang w:val="en-GB"/>
              </w:rPr>
              <w:t xml:space="preserve">The dissertation defence will be held in the 5th semester (May). Student who failed will have to retake it in the 6th semester (September).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sz w:val="22"/>
                <w:szCs w:val="24"/>
                <w:lang w:val="en-GB"/>
              </w:rPr>
            </w:pPr>
            <w:r>
              <w:rPr>
                <w:rFonts w:ascii="Times New Roman" w:hAnsi="Times New Roman" w:cs="Times New Roman"/>
                <w:sz w:val="22"/>
                <w:szCs w:val="24"/>
                <w:lang w:val="en-GB"/>
              </w:rPr>
              <w:t>Practice in Specialty</w:t>
            </w:r>
          </w:p>
        </w:tc>
        <w:tc>
          <w:tcPr>
            <w:tcW w:w="5607"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2"/>
                <w:szCs w:val="24"/>
                <w:lang w:val="en-GB"/>
              </w:rPr>
            </w:pPr>
            <w:r>
              <w:rPr>
                <w:rFonts w:ascii="Times New Roman" w:hAnsi="Times New Roman" w:cs="Times New Roman"/>
                <w:sz w:val="22"/>
                <w:szCs w:val="24"/>
                <w:lang w:val="en-GB"/>
              </w:rPr>
              <w:t>In the summer semester.</w:t>
            </w:r>
          </w:p>
        </w:tc>
      </w:tr>
    </w:tbl>
    <w:p>
      <w:pPr>
        <w:rPr>
          <w:rFonts w:ascii="Times New Roman" w:hAnsi="Times New Roman" w:cs="Times New Roman"/>
          <w:lang w:val="en-GB"/>
        </w:rPr>
      </w:pPr>
    </w:p>
    <w:p>
      <w:pPr>
        <w:rPr>
          <w:rFonts w:ascii="Times New Roman" w:hAnsi="Times New Roman" w:cs="Times New Roman"/>
          <w:lang w:val="en-GB"/>
        </w:rPr>
      </w:pPr>
    </w:p>
    <w:p>
      <w:pPr>
        <w:rPr>
          <w:rFonts w:ascii="Times New Roman" w:hAnsi="Times New Roman" w:cs="Times New Roman"/>
          <w:lang w:val="en-GB"/>
        </w:rPr>
      </w:pPr>
    </w:p>
    <w:p>
      <w:pPr>
        <w:rPr>
          <w:rFonts w:ascii="Times New Roman" w:hAnsi="Times New Roman" w:cs="Times New Roman"/>
          <w:lang w:val="en-GB"/>
        </w:rPr>
      </w:pPr>
    </w:p>
    <w:p>
      <w:pPr>
        <w:pStyle w:val="2"/>
        <w:rPr>
          <w:rFonts w:ascii="Times New Roman" w:hAnsi="Times New Roman" w:cs="Times New Roman"/>
          <w:sz w:val="32"/>
          <w:lang w:val="en-GB"/>
        </w:rPr>
      </w:pPr>
      <w:bookmarkStart w:id="31" w:name="_Toc521949291"/>
      <w:bookmarkStart w:id="32" w:name="_Toc522033851"/>
      <w:bookmarkStart w:id="33" w:name="_Toc429559569"/>
      <w:r>
        <w:rPr>
          <w:rFonts w:ascii="Times New Roman" w:hAnsi="Times New Roman" w:cs="Times New Roman"/>
          <w:sz w:val="32"/>
          <w:lang w:val="en-GB"/>
        </w:rPr>
        <w:t>Important Academic Events</w:t>
      </w:r>
      <w:bookmarkEnd w:id="31"/>
      <w:bookmarkEnd w:id="32"/>
      <w:bookmarkEnd w:id="33"/>
      <w:bookmarkStart w:id="34" w:name="_Toc429559570"/>
      <w:bookmarkStart w:id="35" w:name="_Toc366154062"/>
    </w:p>
    <w:bookmarkEnd w:id="34"/>
    <w:bookmarkEnd w:id="35"/>
    <w:p>
      <w:pPr>
        <w:pStyle w:val="15"/>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Formulate your Personal Study Plan (PSP)</w:t>
      </w:r>
    </w:p>
    <w:p>
      <w:pPr>
        <w:snapToGrid w:val="0"/>
        <w:spacing w:before="156" w:beforeLines="50" w:after="156" w:afterLines="50" w:line="360" w:lineRule="auto"/>
        <w:rPr>
          <w:rFonts w:ascii="Times New Roman" w:hAnsi="Times New Roman"/>
          <w:color w:val="000000"/>
          <w:kern w:val="0"/>
          <w:sz w:val="28"/>
          <w:lang w:val="en-GB"/>
        </w:rPr>
      </w:pPr>
      <w:r>
        <w:rPr>
          <w:rFonts w:ascii="Times New Roman" w:hAnsi="Times New Roman"/>
          <w:color w:val="000000"/>
          <w:kern w:val="0"/>
          <w:sz w:val="28"/>
          <w:lang w:val="en-GB"/>
        </w:rPr>
        <w:t>New students should complete a feasible personal study plan (PSP) within two weeks. After the review and approval by the academic supervisor, the student should submit PSP to Teaching Administration Office to document the file.</w:t>
      </w:r>
    </w:p>
    <w:p>
      <w:pPr>
        <w:snapToGrid w:val="0"/>
        <w:spacing w:before="156" w:beforeLines="50" w:after="156" w:afterLines="50" w:line="360" w:lineRule="auto"/>
        <w:rPr>
          <w:rFonts w:ascii="Times New Roman" w:hAnsi="Times New Roman" w:cs="Times New Roman"/>
          <w:color w:val="000000"/>
          <w:kern w:val="0"/>
          <w:sz w:val="28"/>
          <w:lang w:val="en-GB"/>
        </w:rPr>
      </w:pPr>
      <w:r>
        <w:rPr>
          <w:rFonts w:ascii="Times New Roman" w:hAnsi="Times New Roman" w:cs="Times New Roman"/>
          <w:b/>
          <w:color w:val="000000"/>
          <w:kern w:val="0"/>
          <w:sz w:val="28"/>
          <w:lang w:val="en-GB"/>
        </w:rPr>
        <w:t>Note</w:t>
      </w:r>
      <w:r>
        <w:rPr>
          <w:rFonts w:ascii="Times New Roman" w:hAnsi="Times New Roman" w:cs="Times New Roman"/>
          <w:color w:val="000000"/>
          <w:kern w:val="0"/>
          <w:sz w:val="28"/>
          <w:lang w:val="en-GB"/>
        </w:rPr>
        <w:t>: If the PSP cannot be carried out or cannot be implemented completely due to certain objective conditions such as course cancellation, course adjustment, courses time conflict, etc., students have to fill the table of ‘Shanghai Jiao Tong University Graduate Students Personal Study Plan Revision Application Form’ to apply for the revision. After the review and approval of the application form by the supervisor, student should submit the form to the Teaching Administration Office for documentation.</w:t>
      </w:r>
    </w:p>
    <w:p>
      <w:pPr>
        <w:pStyle w:val="15"/>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 xml:space="preserve">Mid-term Evaluation </w:t>
      </w:r>
    </w:p>
    <w:p>
      <w:pPr>
        <w:pStyle w:val="18"/>
        <w:spacing w:before="156" w:beforeLines="50" w:line="360" w:lineRule="auto"/>
        <w:ind w:firstLine="0" w:firstLineChars="0"/>
        <w:rPr>
          <w:sz w:val="28"/>
          <w:szCs w:val="28"/>
          <w:lang w:val="en-GB"/>
        </w:rPr>
      </w:pPr>
      <w:r>
        <w:rPr>
          <w:sz w:val="28"/>
          <w:szCs w:val="28"/>
          <w:lang w:val="en-GB"/>
        </w:rPr>
        <w:t>Mid-term Evaluation will be conducted at the end of the 3</w:t>
      </w:r>
      <w:r>
        <w:rPr>
          <w:sz w:val="28"/>
          <w:szCs w:val="28"/>
          <w:vertAlign w:val="superscript"/>
          <w:lang w:val="en-GB"/>
        </w:rPr>
        <w:t>rd</w:t>
      </w:r>
      <w:r>
        <w:rPr>
          <w:sz w:val="28"/>
          <w:szCs w:val="28"/>
          <w:lang w:val="en-GB"/>
        </w:rPr>
        <w:t xml:space="preserve"> semester. Credits and GPA points are also required to meet the requirements, and </w:t>
      </w:r>
      <w:r>
        <w:rPr>
          <w:sz w:val="28"/>
          <w:lang w:val="en-GB"/>
        </w:rPr>
        <w:t xml:space="preserve">students should fill ‘Shanghai Jiao Tong University Graduate Mid-term Evaluation Form’. </w:t>
      </w:r>
      <w:r>
        <w:rPr>
          <w:color w:val="000000"/>
          <w:kern w:val="0"/>
          <w:sz w:val="28"/>
          <w:lang w:val="en-GB"/>
        </w:rPr>
        <w:t>After the review and approval of the application form by</w:t>
      </w:r>
      <w:r>
        <w:rPr>
          <w:sz w:val="22"/>
          <w:lang w:val="en-GB"/>
        </w:rPr>
        <w:t xml:space="preserve"> </w:t>
      </w:r>
      <w:r>
        <w:rPr>
          <w:color w:val="000000"/>
          <w:kern w:val="0"/>
          <w:sz w:val="28"/>
          <w:lang w:val="en-GB"/>
        </w:rPr>
        <w:t xml:space="preserve">the supervisor, </w:t>
      </w:r>
      <w:r>
        <w:rPr>
          <w:sz w:val="28"/>
          <w:lang w:val="en-GB"/>
        </w:rPr>
        <w:t>and submit it to Teaching Administration Office</w:t>
      </w:r>
      <w:r>
        <w:rPr>
          <w:sz w:val="28"/>
          <w:szCs w:val="28"/>
          <w:lang w:val="en-GB"/>
        </w:rPr>
        <w:t>.</w:t>
      </w:r>
    </w:p>
    <w:p>
      <w:pPr>
        <w:pStyle w:val="18"/>
        <w:numPr>
          <w:ilvl w:val="0"/>
          <w:numId w:val="4"/>
        </w:numPr>
        <w:spacing w:before="156" w:beforeLines="50" w:line="360" w:lineRule="auto"/>
        <w:ind w:firstLineChars="0"/>
        <w:rPr>
          <w:b/>
          <w:sz w:val="28"/>
          <w:szCs w:val="28"/>
          <w:lang w:val="en-GB"/>
        </w:rPr>
      </w:pPr>
      <w:r>
        <w:rPr>
          <w:b/>
          <w:sz w:val="28"/>
          <w:szCs w:val="28"/>
          <w:lang w:val="en-GB"/>
        </w:rPr>
        <w:t>Basic Requirements</w:t>
      </w:r>
    </w:p>
    <w:p>
      <w:pPr>
        <w:pStyle w:val="18"/>
        <w:spacing w:line="360" w:lineRule="auto"/>
        <w:ind w:firstLineChars="0"/>
        <w:rPr>
          <w:color w:val="000000"/>
          <w:kern w:val="0"/>
          <w:sz w:val="28"/>
          <w:lang w:val="en-GB"/>
        </w:rPr>
      </w:pPr>
      <w:r>
        <w:rPr>
          <w:color w:val="000000"/>
          <w:kern w:val="0"/>
          <w:sz w:val="28"/>
          <w:lang w:val="en-GB"/>
        </w:rPr>
        <w:t xml:space="preserve">To pass the mid-term evaluation, students should meet the basic requirements as following: </w:t>
      </w:r>
    </w:p>
    <w:p>
      <w:pPr>
        <w:pStyle w:val="18"/>
        <w:numPr>
          <w:ilvl w:val="0"/>
          <w:numId w:val="5"/>
        </w:numPr>
        <w:spacing w:line="360" w:lineRule="auto"/>
        <w:ind w:firstLineChars="0"/>
        <w:rPr>
          <w:color w:val="000000"/>
          <w:kern w:val="0"/>
          <w:sz w:val="28"/>
          <w:lang w:val="en-GB"/>
        </w:rPr>
      </w:pPr>
      <w:r>
        <w:rPr>
          <w:color w:val="000000"/>
          <w:kern w:val="0"/>
          <w:sz w:val="28"/>
          <w:lang w:val="en-GB"/>
        </w:rPr>
        <w:t>Complete all the required courses in the personal study plan.</w:t>
      </w:r>
    </w:p>
    <w:p>
      <w:pPr>
        <w:pStyle w:val="18"/>
        <w:numPr>
          <w:ilvl w:val="0"/>
          <w:numId w:val="5"/>
        </w:numPr>
        <w:spacing w:line="360" w:lineRule="auto"/>
        <w:ind w:firstLineChars="0"/>
        <w:rPr>
          <w:color w:val="000000"/>
          <w:kern w:val="0"/>
          <w:sz w:val="28"/>
          <w:szCs w:val="22"/>
          <w:lang w:val="en-GB"/>
        </w:rPr>
      </w:pPr>
      <w:r>
        <w:rPr>
          <w:sz w:val="28"/>
          <w:szCs w:val="22"/>
          <w:lang w:val="en-GB"/>
        </w:rPr>
        <w:t xml:space="preserve">Both credits of the completed courses and credits of </w:t>
      </w:r>
      <w:r>
        <w:rPr>
          <w:kern w:val="0"/>
          <w:sz w:val="28"/>
          <w:szCs w:val="22"/>
          <w:lang w:val="en-GB"/>
        </w:rPr>
        <w:t>degree courses should meet the degree requirements.</w:t>
      </w:r>
    </w:p>
    <w:p>
      <w:pPr>
        <w:pStyle w:val="18"/>
        <w:numPr>
          <w:ilvl w:val="0"/>
          <w:numId w:val="5"/>
        </w:numPr>
        <w:spacing w:line="360" w:lineRule="auto"/>
        <w:ind w:firstLineChars="0"/>
        <w:rPr>
          <w:color w:val="000000"/>
          <w:kern w:val="0"/>
          <w:sz w:val="28"/>
          <w:szCs w:val="22"/>
          <w:lang w:val="en-GB"/>
        </w:rPr>
      </w:pPr>
      <w:r>
        <w:rPr>
          <w:kern w:val="0"/>
          <w:sz w:val="28"/>
          <w:szCs w:val="22"/>
          <w:lang w:val="en-GB"/>
        </w:rPr>
        <w:t>Average GPA point should be no less than 2.7.</w:t>
      </w:r>
    </w:p>
    <w:p>
      <w:pPr>
        <w:pStyle w:val="18"/>
        <w:numPr>
          <w:ilvl w:val="0"/>
          <w:numId w:val="4"/>
        </w:numPr>
        <w:spacing w:before="156" w:beforeLines="50" w:line="360" w:lineRule="auto"/>
        <w:ind w:firstLineChars="0"/>
        <w:rPr>
          <w:b/>
          <w:sz w:val="28"/>
          <w:szCs w:val="28"/>
          <w:lang w:val="en-GB"/>
        </w:rPr>
      </w:pPr>
      <w:r>
        <w:rPr>
          <w:b/>
          <w:sz w:val="28"/>
          <w:szCs w:val="28"/>
          <w:lang w:val="en-GB"/>
        </w:rPr>
        <w:t>Assessment standards</w:t>
      </w:r>
    </w:p>
    <w:tbl>
      <w:tblPr>
        <w:tblStyle w:val="19"/>
        <w:tblW w:w="7277"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61"/>
        <w:gridCol w:w="2016"/>
        <w:gridCol w:w="4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7" w:hRule="atLeast"/>
          <w:jc w:val="center"/>
        </w:trPr>
        <w:tc>
          <w:tcPr>
            <w:tcW w:w="761" w:type="dxa"/>
            <w:tcBorders>
              <w:top w:val="single" w:color="000000" w:sz="8" w:space="0"/>
              <w:left w:val="single" w:color="000000" w:sz="8" w:space="0"/>
              <w:bottom w:val="single" w:color="000000" w:sz="8" w:space="0"/>
              <w:right w:val="nil"/>
              <w:insideV w:val="nil"/>
              <w:tl2br w:val="nil"/>
              <w:tr2bl w:val="nil"/>
            </w:tcBorders>
          </w:tcPr>
          <w:p>
            <w:pPr>
              <w:pStyle w:val="18"/>
              <w:spacing w:before="156" w:beforeLines="50" w:after="0" w:line="360" w:lineRule="auto"/>
              <w:ind w:firstLine="0" w:firstLineChars="0"/>
              <w:rPr>
                <w:b w:val="0"/>
                <w:bCs w:val="0"/>
                <w:kern w:val="0"/>
                <w:sz w:val="24"/>
                <w:szCs w:val="28"/>
                <w:lang w:val="en-GB"/>
              </w:rPr>
            </w:pPr>
            <w:r>
              <w:rPr>
                <w:b/>
                <w:bCs/>
                <w:kern w:val="0"/>
                <w:sz w:val="24"/>
                <w:szCs w:val="28"/>
                <w:lang w:val="en-GB"/>
              </w:rPr>
              <w:t>A</w:t>
            </w:r>
          </w:p>
        </w:tc>
        <w:tc>
          <w:tcPr>
            <w:tcW w:w="2016" w:type="dxa"/>
            <w:tcBorders>
              <w:top w:val="single" w:color="000000" w:sz="8" w:space="0"/>
              <w:bottom w:val="single" w:color="000000" w:sz="8" w:space="0"/>
              <w:right w:val="nil"/>
              <w:insideV w:val="nil"/>
              <w:tl2br w:val="nil"/>
              <w:tr2bl w:val="nil"/>
            </w:tcBorders>
          </w:tcPr>
          <w:p>
            <w:pPr>
              <w:pStyle w:val="18"/>
              <w:spacing w:before="156" w:beforeLines="50" w:after="0" w:line="360" w:lineRule="auto"/>
              <w:ind w:firstLine="0" w:firstLineChars="0"/>
              <w:rPr>
                <w:b w:val="0"/>
                <w:bCs w:val="0"/>
                <w:kern w:val="0"/>
                <w:sz w:val="24"/>
                <w:szCs w:val="28"/>
                <w:lang w:val="en-GB"/>
              </w:rPr>
            </w:pPr>
            <w:r>
              <w:rPr>
                <w:b w:val="0"/>
                <w:bCs/>
                <w:kern w:val="0"/>
                <w:sz w:val="24"/>
                <w:szCs w:val="28"/>
                <w:lang w:val="en-GB"/>
              </w:rPr>
              <w:t>Excellent</w:t>
            </w:r>
          </w:p>
        </w:tc>
        <w:tc>
          <w:tcPr>
            <w:tcW w:w="4500" w:type="dxa"/>
            <w:vMerge w:val="restart"/>
            <w:tcBorders>
              <w:top w:val="single" w:color="000000" w:sz="8" w:space="0"/>
              <w:left w:val="single" w:color="000000" w:sz="8" w:space="0"/>
              <w:bottom w:val="single" w:color="000000" w:sz="8" w:space="0"/>
              <w:right w:val="single" w:color="000000" w:sz="8" w:space="0"/>
              <w:insideV w:val="nil"/>
              <w:tl2br w:val="nil"/>
              <w:tr2bl w:val="nil"/>
            </w:tcBorders>
          </w:tcPr>
          <w:p>
            <w:pPr>
              <w:spacing w:before="156" w:after="0" w:line="240" w:lineRule="auto"/>
              <w:rPr>
                <w:rFonts w:ascii="Times New Roman" w:hAnsi="Times New Roman" w:eastAsia="宋体" w:cs="Times New Roman"/>
                <w:b w:val="0"/>
                <w:bCs w:val="0"/>
                <w:kern w:val="0"/>
                <w:sz w:val="24"/>
                <w:szCs w:val="28"/>
                <w:lang w:val="en-GB"/>
              </w:rPr>
            </w:pPr>
            <w:r>
              <w:rPr>
                <w:rFonts w:ascii="Cambria" w:hAnsi="Cambria" w:eastAsia="宋体" w:cs="Times New Roman"/>
                <w:b/>
                <w:bCs/>
                <w:kern w:val="0"/>
                <w:sz w:val="24"/>
                <w:szCs w:val="28"/>
                <w:lang w:val="en-GB"/>
              </w:rPr>
              <w:t>Note:</w:t>
            </w:r>
          </w:p>
          <w:p>
            <w:pPr>
              <w:spacing w:before="156" w:after="0" w:line="240" w:lineRule="auto"/>
              <w:rPr>
                <w:rFonts w:ascii="Cambria" w:hAnsi="Cambria" w:eastAsia="宋体" w:cs="Times New Roman"/>
                <w:b w:val="0"/>
                <w:bCs/>
                <w:kern w:val="0"/>
                <w:sz w:val="24"/>
                <w:szCs w:val="28"/>
                <w:lang w:val="en-GB"/>
              </w:rPr>
            </w:pPr>
            <w:r>
              <w:rPr>
                <w:rFonts w:ascii="Cambria" w:hAnsi="Cambria" w:eastAsia="宋体" w:cs="Times New Roman"/>
                <w:b w:val="0"/>
                <w:bCs/>
                <w:kern w:val="0"/>
                <w:sz w:val="24"/>
                <w:szCs w:val="28"/>
                <w:lang w:val="en-GB"/>
              </w:rPr>
              <w:t>Students whose assessment results are above B (include B) can go into the internship and dissertation stage.</w:t>
            </w:r>
          </w:p>
          <w:p>
            <w:pPr>
              <w:spacing w:before="156" w:after="0" w:line="240" w:lineRule="auto"/>
              <w:rPr>
                <w:rFonts w:ascii="Cambria" w:hAnsi="Cambria" w:eastAsia="宋体" w:cs="Times New Roman"/>
                <w:b w:val="0"/>
                <w:bCs/>
                <w:kern w:val="0"/>
                <w:sz w:val="24"/>
                <w:szCs w:val="28"/>
                <w:lang w:val="en-GB"/>
              </w:rPr>
            </w:pPr>
            <w:r>
              <w:rPr>
                <w:rFonts w:ascii="Cambria" w:hAnsi="Cambria" w:eastAsia="宋体" w:cs="Times New Roman"/>
                <w:b w:val="0"/>
                <w:bCs/>
                <w:kern w:val="0"/>
                <w:sz w:val="24"/>
                <w:szCs w:val="28"/>
                <w:lang w:val="en-GB"/>
              </w:rPr>
              <w:t>Students whose assessment results are C will be given advices by supervisor and subject leader for remediation.</w:t>
            </w:r>
          </w:p>
          <w:p>
            <w:pPr>
              <w:spacing w:before="156" w:after="0" w:line="240" w:lineRule="auto"/>
              <w:rPr>
                <w:rFonts w:ascii="Times New Roman" w:hAnsi="Times New Roman" w:eastAsia="宋体" w:cs="Times New Roman"/>
                <w:b w:val="0"/>
                <w:bCs w:val="0"/>
                <w:kern w:val="0"/>
                <w:sz w:val="20"/>
                <w:szCs w:val="20"/>
                <w:lang w:val="en-GB"/>
              </w:rPr>
            </w:pPr>
            <w:r>
              <w:rPr>
                <w:rFonts w:ascii="Cambria" w:hAnsi="Cambria" w:eastAsia="宋体" w:cs="Times New Roman"/>
                <w:b w:val="0"/>
                <w:bCs/>
                <w:kern w:val="0"/>
                <w:sz w:val="24"/>
                <w:szCs w:val="28"/>
                <w:lang w:val="en-GB"/>
              </w:rPr>
              <w:t>Students whose assessment results are D will be suggested to be withdrawn from the programme.</w:t>
            </w:r>
            <w:r>
              <w:rPr>
                <w:rFonts w:ascii="Cambria" w:hAnsi="Cambria" w:eastAsia="宋体" w:cs="Times New Roman"/>
                <w:b/>
                <w:bCs/>
                <w:kern w:val="0"/>
                <w:sz w:val="24"/>
                <w:szCs w:val="28"/>
                <w:lang w:val="en-GB"/>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81"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18"/>
              <w:spacing w:before="156" w:beforeLines="50" w:line="360" w:lineRule="auto"/>
              <w:ind w:firstLine="0" w:firstLineChars="0"/>
              <w:rPr>
                <w:b w:val="0"/>
                <w:bCs w:val="0"/>
                <w:kern w:val="0"/>
                <w:sz w:val="24"/>
                <w:szCs w:val="28"/>
                <w:lang w:val="en-GB"/>
              </w:rPr>
            </w:pPr>
            <w:r>
              <w:rPr>
                <w:b/>
                <w:bCs/>
                <w:kern w:val="0"/>
                <w:sz w:val="24"/>
                <w:szCs w:val="28"/>
                <w:lang w:val="en-GB"/>
              </w:rPr>
              <w:t>B</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18"/>
              <w:spacing w:before="156" w:beforeLines="50" w:line="360" w:lineRule="auto"/>
              <w:ind w:firstLine="0" w:firstLineChars="0"/>
              <w:rPr>
                <w:kern w:val="0"/>
                <w:sz w:val="24"/>
                <w:szCs w:val="28"/>
                <w:lang w:val="en-GB"/>
              </w:rPr>
            </w:pPr>
            <w:r>
              <w:rPr>
                <w:kern w:val="0"/>
                <w:sz w:val="24"/>
                <w:szCs w:val="28"/>
                <w:lang w:val="en-GB"/>
              </w:rPr>
              <w:t>Qualified</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vAlign w:val="center"/>
          </w:tcPr>
          <w:p>
            <w:pPr>
              <w:widowControl/>
              <w:jc w:val="left"/>
              <w:rPr>
                <w:rFonts w:ascii="Times New Roman" w:hAnsi="Times New Roman" w:eastAsia="宋体" w:cs="Times New Roman"/>
                <w:kern w:val="0"/>
                <w:sz w:val="20"/>
                <w:szCs w:val="20"/>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18"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tcPr>
          <w:p>
            <w:pPr>
              <w:pStyle w:val="18"/>
              <w:spacing w:before="156" w:beforeLines="50" w:line="360" w:lineRule="auto"/>
              <w:ind w:firstLine="0" w:firstLineChars="0"/>
              <w:rPr>
                <w:b w:val="0"/>
                <w:bCs w:val="0"/>
                <w:kern w:val="0"/>
                <w:sz w:val="24"/>
                <w:szCs w:val="28"/>
                <w:lang w:val="en-GB"/>
              </w:rPr>
            </w:pPr>
            <w:r>
              <w:rPr>
                <w:b/>
                <w:bCs/>
                <w:kern w:val="0"/>
                <w:sz w:val="24"/>
                <w:szCs w:val="28"/>
                <w:lang w:val="en-GB"/>
              </w:rPr>
              <w:t>C</w:t>
            </w:r>
          </w:p>
        </w:tc>
        <w:tc>
          <w:tcPr>
            <w:tcW w:w="2016" w:type="dxa"/>
            <w:tcBorders>
              <w:top w:val="single" w:color="000000" w:sz="8" w:space="0"/>
              <w:bottom w:val="single" w:color="000000" w:sz="8" w:space="0"/>
              <w:right w:val="nil"/>
              <w:insideH w:val="single" w:sz="8" w:space="0"/>
              <w:insideV w:val="nil"/>
              <w:tl2br w:val="nil"/>
              <w:tr2bl w:val="nil"/>
            </w:tcBorders>
          </w:tcPr>
          <w:p>
            <w:pPr>
              <w:pStyle w:val="18"/>
              <w:spacing w:before="156" w:beforeLines="50" w:line="360" w:lineRule="auto"/>
              <w:ind w:firstLine="0" w:firstLineChars="0"/>
              <w:rPr>
                <w:kern w:val="0"/>
                <w:sz w:val="24"/>
                <w:szCs w:val="28"/>
                <w:lang w:val="en-GB"/>
              </w:rPr>
            </w:pPr>
            <w:r>
              <w:rPr>
                <w:kern w:val="0"/>
                <w:sz w:val="24"/>
                <w:szCs w:val="28"/>
                <w:lang w:val="en-GB"/>
              </w:rPr>
              <w:t>Warning</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vAlign w:val="center"/>
          </w:tcPr>
          <w:p>
            <w:pPr>
              <w:widowControl/>
              <w:jc w:val="left"/>
              <w:rPr>
                <w:rFonts w:ascii="Times New Roman" w:hAnsi="Times New Roman" w:eastAsia="宋体" w:cs="Times New Roman"/>
                <w:kern w:val="0"/>
                <w:sz w:val="20"/>
                <w:szCs w:val="20"/>
                <w:lang w:val="en-GB"/>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07" w:hRule="atLeast"/>
          <w:jc w:val="center"/>
        </w:trPr>
        <w:tc>
          <w:tcPr>
            <w:tcW w:w="761" w:type="dxa"/>
            <w:tcBorders>
              <w:top w:val="single" w:color="000000" w:sz="8" w:space="0"/>
              <w:left w:val="single" w:color="000000" w:sz="8" w:space="0"/>
              <w:bottom w:val="single" w:color="000000" w:sz="8" w:space="0"/>
              <w:right w:val="nil"/>
              <w:insideH w:val="single" w:sz="8" w:space="0"/>
              <w:insideV w:val="nil"/>
              <w:tl2br w:val="nil"/>
              <w:tr2bl w:val="nil"/>
            </w:tcBorders>
            <w:shd w:val="clear" w:color="auto" w:fill="C0C0C0"/>
          </w:tcPr>
          <w:p>
            <w:pPr>
              <w:pStyle w:val="18"/>
              <w:spacing w:before="156" w:beforeLines="50" w:line="360" w:lineRule="auto"/>
              <w:ind w:firstLine="0" w:firstLineChars="0"/>
              <w:rPr>
                <w:b w:val="0"/>
                <w:bCs w:val="0"/>
                <w:kern w:val="0"/>
                <w:sz w:val="24"/>
                <w:szCs w:val="28"/>
                <w:lang w:val="en-GB"/>
              </w:rPr>
            </w:pPr>
            <w:r>
              <w:rPr>
                <w:b/>
                <w:bCs/>
                <w:kern w:val="0"/>
                <w:sz w:val="24"/>
                <w:szCs w:val="28"/>
                <w:lang w:val="en-GB"/>
              </w:rPr>
              <w:t>D</w:t>
            </w:r>
          </w:p>
        </w:tc>
        <w:tc>
          <w:tcPr>
            <w:tcW w:w="2016" w:type="dxa"/>
            <w:tcBorders>
              <w:top w:val="single" w:color="000000" w:sz="8" w:space="0"/>
              <w:bottom w:val="single" w:color="000000" w:sz="8" w:space="0"/>
              <w:right w:val="nil"/>
              <w:insideH w:val="single" w:sz="8" w:space="0"/>
              <w:insideV w:val="nil"/>
              <w:tl2br w:val="nil"/>
              <w:tr2bl w:val="nil"/>
            </w:tcBorders>
            <w:shd w:val="clear" w:color="auto" w:fill="C0C0C0"/>
          </w:tcPr>
          <w:p>
            <w:pPr>
              <w:pStyle w:val="18"/>
              <w:spacing w:before="156" w:beforeLines="50" w:line="360" w:lineRule="auto"/>
              <w:ind w:firstLine="0" w:firstLineChars="0"/>
              <w:rPr>
                <w:kern w:val="0"/>
                <w:sz w:val="24"/>
                <w:szCs w:val="28"/>
                <w:lang w:val="en-GB"/>
              </w:rPr>
            </w:pPr>
            <w:r>
              <w:rPr>
                <w:kern w:val="0"/>
                <w:sz w:val="24"/>
                <w:szCs w:val="28"/>
                <w:lang w:val="en-GB"/>
              </w:rPr>
              <w:t xml:space="preserve">Unqualified </w:t>
            </w:r>
          </w:p>
        </w:tc>
        <w:tc>
          <w:tcPr>
            <w:tcW w:w="4500" w:type="dxa"/>
            <w:vMerge w:val="continue"/>
            <w:tcBorders>
              <w:top w:val="single" w:color="000000" w:sz="8" w:space="0"/>
              <w:left w:val="single" w:color="000000" w:sz="8" w:space="0"/>
              <w:bottom w:val="single" w:color="000000" w:sz="8" w:space="0"/>
              <w:right w:val="single" w:color="000000" w:sz="8" w:space="0"/>
              <w:insideH w:val="single" w:sz="8" w:space="0"/>
              <w:insideV w:val="nil"/>
              <w:tl2br w:val="nil"/>
              <w:tr2bl w:val="nil"/>
            </w:tcBorders>
            <w:shd w:val="clear" w:color="auto" w:fill="C0C0C0"/>
            <w:vAlign w:val="center"/>
          </w:tcPr>
          <w:p>
            <w:pPr>
              <w:widowControl/>
              <w:jc w:val="left"/>
              <w:rPr>
                <w:rFonts w:ascii="Times New Roman" w:hAnsi="Times New Roman" w:eastAsia="宋体" w:cs="Times New Roman"/>
                <w:kern w:val="0"/>
                <w:sz w:val="20"/>
                <w:szCs w:val="20"/>
                <w:lang w:val="en-GB"/>
              </w:rPr>
            </w:pPr>
          </w:p>
        </w:tc>
      </w:tr>
    </w:tbl>
    <w:p>
      <w:pPr>
        <w:pStyle w:val="15"/>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Dissertation Proposal</w:t>
      </w:r>
    </w:p>
    <w:p>
      <w:pPr>
        <w:widowControl/>
        <w:tabs>
          <w:tab w:val="left" w:pos="0"/>
          <w:tab w:val="left" w:pos="960"/>
        </w:tabs>
        <w:autoSpaceDE w:val="0"/>
        <w:spacing w:line="360" w:lineRule="auto"/>
        <w:rPr>
          <w:rFonts w:ascii="Times New Roman" w:hAnsi="Times New Roman"/>
          <w:color w:val="000000"/>
          <w:kern w:val="0"/>
          <w:sz w:val="28"/>
          <w:lang w:val="en-GB"/>
        </w:rPr>
      </w:pPr>
      <w:r>
        <w:rPr>
          <w:rFonts w:ascii="Times New Roman" w:hAnsi="Times New Roman"/>
          <w:sz w:val="28"/>
          <w:lang w:val="en-GB"/>
        </w:rPr>
        <w:t xml:space="preserve">Students will officially enter the stage of degree dissertation after passing the mid-term evaluation. </w:t>
      </w:r>
      <w:r>
        <w:rPr>
          <w:rFonts w:ascii="Times New Roman" w:hAnsi="Times New Roman"/>
          <w:color w:val="000000"/>
          <w:kern w:val="0"/>
          <w:sz w:val="28"/>
          <w:lang w:val="en-GB"/>
        </w:rPr>
        <w:t xml:space="preserve">The dissertation proposal should follow a unified format suggested by the Graduate School, Shanghai Jiao Tong University. Students who studied in UoE in the second academic year could process the dissertation proposal online. The form (no less than 5000 words) includes seven parts as following: </w:t>
      </w:r>
    </w:p>
    <w:p>
      <w:pPr>
        <w:pStyle w:val="18"/>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Title;</w:t>
      </w:r>
    </w:p>
    <w:p>
      <w:pPr>
        <w:pStyle w:val="18"/>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The significance of the research;</w:t>
      </w:r>
    </w:p>
    <w:p>
      <w:pPr>
        <w:pStyle w:val="18"/>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objects, research contents and the key problem to be solved;</w:t>
      </w:r>
    </w:p>
    <w:p>
      <w:pPr>
        <w:pStyle w:val="18"/>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methods, technical plan and feasibility analysis;</w:t>
      </w:r>
    </w:p>
    <w:p>
      <w:pPr>
        <w:pStyle w:val="18"/>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Implications and contributions;</w:t>
      </w:r>
    </w:p>
    <w:p>
      <w:pPr>
        <w:pStyle w:val="18"/>
        <w:widowControl/>
        <w:numPr>
          <w:ilvl w:val="0"/>
          <w:numId w:val="6"/>
        </w:numPr>
        <w:tabs>
          <w:tab w:val="left" w:pos="0"/>
          <w:tab w:val="left" w:pos="960"/>
        </w:tabs>
        <w:autoSpaceDE w:val="0"/>
        <w:spacing w:line="360" w:lineRule="auto"/>
        <w:ind w:firstLineChars="0"/>
        <w:rPr>
          <w:color w:val="000000"/>
          <w:kern w:val="0"/>
          <w:sz w:val="28"/>
          <w:szCs w:val="22"/>
          <w:lang w:val="en-GB"/>
        </w:rPr>
      </w:pPr>
      <w:r>
        <w:rPr>
          <w:color w:val="000000"/>
          <w:kern w:val="0"/>
          <w:sz w:val="28"/>
          <w:szCs w:val="22"/>
          <w:lang w:val="en-GB"/>
        </w:rPr>
        <w:t>Research schedule, progress and expected results;</w:t>
      </w:r>
    </w:p>
    <w:p>
      <w:pPr>
        <w:pStyle w:val="18"/>
        <w:widowControl/>
        <w:numPr>
          <w:ilvl w:val="0"/>
          <w:numId w:val="6"/>
        </w:numPr>
        <w:tabs>
          <w:tab w:val="left" w:pos="0"/>
          <w:tab w:val="left" w:pos="960"/>
        </w:tabs>
        <w:autoSpaceDE w:val="0"/>
        <w:spacing w:line="360" w:lineRule="auto"/>
        <w:ind w:firstLineChars="0"/>
        <w:jc w:val="left"/>
        <w:rPr>
          <w:color w:val="000000"/>
          <w:kern w:val="0"/>
          <w:sz w:val="28"/>
          <w:lang w:val="en-GB"/>
        </w:rPr>
      </w:pPr>
      <w:r>
        <w:rPr>
          <w:color w:val="000000"/>
          <w:kern w:val="0"/>
          <w:sz w:val="28"/>
          <w:lang w:val="en-GB"/>
        </w:rPr>
        <w:t>The accumulation of materials and current research results related to this topic.</w:t>
      </w:r>
    </w:p>
    <w:p>
      <w:pPr>
        <w:spacing w:before="156" w:beforeLines="5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Students should submit the proposal on time to Teaching Administration Office and prepare the PPT. If the student’s proposal cannot meet the requirements, he/she will be required to resubmit a dissertation proposal. </w:t>
      </w:r>
    </w:p>
    <w:p>
      <w:pPr>
        <w:pStyle w:val="15"/>
        <w:numPr>
          <w:ilvl w:val="0"/>
          <w:numId w:val="3"/>
        </w:numPr>
        <w:spacing w:before="156" w:beforeLines="50" w:line="360" w:lineRule="auto"/>
        <w:ind w:firstLineChars="0"/>
        <w:rPr>
          <w:rFonts w:ascii="Times New Roman" w:hAnsi="Times New Roman"/>
          <w:sz w:val="32"/>
          <w:szCs w:val="28"/>
          <w:lang w:val="en-GB"/>
        </w:rPr>
      </w:pPr>
      <w:r>
        <w:rPr>
          <w:rFonts w:ascii="Times New Roman" w:hAnsi="Times New Roman"/>
          <w:b/>
          <w:sz w:val="32"/>
          <w:szCs w:val="28"/>
          <w:lang w:val="en-GB"/>
        </w:rPr>
        <w:t xml:space="preserve">Dissertation Review and Blind Peer Review </w:t>
      </w:r>
    </w:p>
    <w:p>
      <w:pPr>
        <w:rPr>
          <w:rFonts w:ascii="Times New Roman" w:hAnsi="Times New Roman" w:cs="Times New Roman"/>
          <w:sz w:val="28"/>
          <w:lang w:val="en-GB"/>
        </w:rPr>
      </w:pPr>
      <w:r>
        <w:rPr>
          <w:rFonts w:ascii="Times New Roman" w:hAnsi="Times New Roman" w:cs="Times New Roman"/>
          <w:sz w:val="28"/>
          <w:lang w:val="en-GB"/>
        </w:rPr>
        <w:t xml:space="preserve">Students are required to check the Repetition rates of their dissertation papers before applying for the degrees. </w:t>
      </w:r>
    </w:p>
    <w:p>
      <w:pPr>
        <w:pStyle w:val="15"/>
        <w:numPr>
          <w:ilvl w:val="0"/>
          <w:numId w:val="7"/>
        </w:numPr>
        <w:ind w:firstLineChars="0"/>
        <w:rPr>
          <w:rStyle w:val="21"/>
          <w:rFonts w:ascii="Times New Roman" w:hAnsi="Times New Roman"/>
          <w:sz w:val="28"/>
          <w:lang w:val="en-GB"/>
        </w:rPr>
      </w:pPr>
      <w:r>
        <w:rPr>
          <w:rFonts w:ascii="Times New Roman" w:hAnsi="Times New Roman"/>
          <w:sz w:val="28"/>
          <w:lang w:val="en-GB"/>
        </w:rPr>
        <w:t xml:space="preserve">Students should take full responsibilities for the results of the paper repetition checking. However, students are not forced to do the </w:t>
      </w:r>
      <w:r>
        <w:rPr>
          <w:rStyle w:val="21"/>
          <w:rFonts w:ascii="Times New Roman" w:hAnsi="Times New Roman"/>
          <w:sz w:val="28"/>
          <w:lang w:val="en-GB"/>
        </w:rPr>
        <w:t>self-checking in advance.</w:t>
      </w:r>
    </w:p>
    <w:p>
      <w:pPr>
        <w:pStyle w:val="15"/>
        <w:numPr>
          <w:ilvl w:val="0"/>
          <w:numId w:val="7"/>
        </w:numPr>
        <w:ind w:firstLineChars="0"/>
        <w:rPr>
          <w:rStyle w:val="21"/>
          <w:rFonts w:ascii="Times New Roman" w:hAnsi="Times New Roman"/>
          <w:sz w:val="28"/>
          <w:lang w:val="en-GB"/>
        </w:rPr>
      </w:pPr>
      <w:r>
        <w:rPr>
          <w:rStyle w:val="21"/>
          <w:rFonts w:ascii="Times New Roman" w:hAnsi="Times New Roman"/>
          <w:sz w:val="28"/>
          <w:lang w:val="en-GB"/>
        </w:rPr>
        <w:t xml:space="preserve">Our college will review the dissertation papers according to the repetition results checked by SJTU. Students will be allowed to start the paper reviews only when their repetition rates are below 15%. </w:t>
      </w:r>
    </w:p>
    <w:p>
      <w:pPr>
        <w:pStyle w:val="15"/>
        <w:numPr>
          <w:ilvl w:val="0"/>
          <w:numId w:val="7"/>
        </w:numPr>
        <w:ind w:firstLineChars="0"/>
        <w:rPr>
          <w:rStyle w:val="21"/>
          <w:rFonts w:ascii="Times New Roman" w:hAnsi="Times New Roman"/>
          <w:sz w:val="28"/>
          <w:lang w:val="en-GB"/>
        </w:rPr>
      </w:pPr>
      <w:r>
        <w:rPr>
          <w:rStyle w:val="21"/>
          <w:rFonts w:ascii="Times New Roman" w:hAnsi="Times New Roman"/>
          <w:sz w:val="28"/>
          <w:lang w:val="en-GB"/>
        </w:rPr>
        <w:t>Two cases can be applied to those students whose repetition rates are higher than or equal to 15%:</w:t>
      </w:r>
    </w:p>
    <w:p>
      <w:pPr>
        <w:pStyle w:val="15"/>
        <w:numPr>
          <w:ilvl w:val="0"/>
          <w:numId w:val="8"/>
        </w:numPr>
        <w:ind w:firstLineChars="0"/>
        <w:rPr>
          <w:rFonts w:ascii="Times New Roman" w:hAnsi="Times New Roman"/>
          <w:sz w:val="28"/>
          <w:lang w:val="en-GB"/>
        </w:rPr>
      </w:pPr>
      <w:r>
        <w:rPr>
          <w:rStyle w:val="21"/>
          <w:rFonts w:ascii="Times New Roman" w:hAnsi="Times New Roman"/>
          <w:sz w:val="28"/>
          <w:lang w:val="en-GB"/>
        </w:rPr>
        <w:t xml:space="preserve">Students whose repetition rates are higher than or equal to 15% but lower than 25%,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5"/>
        <w:numPr>
          <w:ilvl w:val="0"/>
          <w:numId w:val="8"/>
        </w:numPr>
        <w:ind w:firstLineChars="0"/>
        <w:rPr>
          <w:rStyle w:val="22"/>
          <w:rFonts w:ascii="Times New Roman" w:hAnsi="Times New Roman"/>
          <w:sz w:val="28"/>
          <w:lang w:val="en-GB"/>
        </w:rPr>
      </w:pPr>
      <w:r>
        <w:rPr>
          <w:rFonts w:ascii="Times New Roman" w:hAnsi="Times New Roman"/>
          <w:sz w:val="28"/>
          <w:lang w:val="en-GB"/>
        </w:rPr>
        <w:t xml:space="preserve">For the students whose repetition rates are higher than or equal to 25%, a 3-academic group will review their dissertation papers and repetition checking reports to provide a written review report, containing the judgments whether their papers are Plagiarisms or </w:t>
      </w:r>
      <w:r>
        <w:rPr>
          <w:rStyle w:val="22"/>
          <w:rFonts w:ascii="Times New Roman" w:hAnsi="Times New Roman"/>
          <w:sz w:val="28"/>
          <w:lang w:val="en-GB"/>
        </w:rPr>
        <w:t>Improper References.</w:t>
      </w:r>
    </w:p>
    <w:p>
      <w:pPr>
        <w:pStyle w:val="15"/>
        <w:numPr>
          <w:ilvl w:val="0"/>
          <w:numId w:val="9"/>
        </w:numPr>
        <w:ind w:firstLineChars="0"/>
        <w:rPr>
          <w:rFonts w:ascii="Times New Roman" w:hAnsi="Times New Roman"/>
          <w:sz w:val="28"/>
          <w:lang w:val="en-GB"/>
        </w:rPr>
      </w:pPr>
      <w:r>
        <w:rPr>
          <w:rStyle w:val="21"/>
          <w:rFonts w:ascii="Times New Roman" w:hAnsi="Times New Roman"/>
          <w:sz w:val="28"/>
          <w:lang w:val="en-GB"/>
        </w:rPr>
        <w:t xml:space="preserve">If their papers are Improper References, the students will have to suspend their </w:t>
      </w:r>
      <w:r>
        <w:rPr>
          <w:rFonts w:ascii="Times New Roman" w:hAnsi="Times New Roman"/>
          <w:sz w:val="28"/>
          <w:lang w:val="en-GB"/>
        </w:rPr>
        <w:t>subsequent works and modify their dissertation papers. They will be allowed to restart their subsequent works only when they meet the requirements in 2) within a reasonable period.</w:t>
      </w:r>
    </w:p>
    <w:p>
      <w:pPr>
        <w:pStyle w:val="15"/>
        <w:numPr>
          <w:ilvl w:val="0"/>
          <w:numId w:val="9"/>
        </w:numPr>
        <w:ind w:firstLineChars="0"/>
        <w:rPr>
          <w:rFonts w:ascii="Times New Roman" w:hAnsi="Times New Roman"/>
          <w:sz w:val="28"/>
          <w:lang w:val="en-GB"/>
        </w:rPr>
      </w:pPr>
      <w:r>
        <w:rPr>
          <w:rFonts w:ascii="Times New Roman" w:hAnsi="Times New Roman"/>
          <w:sz w:val="28"/>
          <w:lang w:val="en-GB"/>
        </w:rPr>
        <w:t>If their papers are Plagiarisms, the students will not be able to achieve their degrees.</w:t>
      </w:r>
    </w:p>
    <w:p>
      <w:pPr>
        <w:pStyle w:val="15"/>
        <w:numPr>
          <w:ilvl w:val="0"/>
          <w:numId w:val="3"/>
        </w:numPr>
        <w:spacing w:before="156" w:beforeLines="50" w:line="360" w:lineRule="auto"/>
        <w:ind w:firstLineChars="0"/>
        <w:rPr>
          <w:rFonts w:ascii="Times New Roman" w:hAnsi="Times New Roman"/>
          <w:b/>
          <w:sz w:val="32"/>
          <w:szCs w:val="28"/>
          <w:lang w:val="en-GB"/>
        </w:rPr>
      </w:pPr>
      <w:r>
        <w:rPr>
          <w:rFonts w:ascii="Times New Roman" w:hAnsi="Times New Roman"/>
          <w:b/>
          <w:sz w:val="32"/>
          <w:szCs w:val="28"/>
          <w:lang w:val="en-GB"/>
        </w:rPr>
        <w:t xml:space="preserve">Dissertation Defence </w:t>
      </w:r>
    </w:p>
    <w:p>
      <w:pPr>
        <w:spacing w:before="156" w:beforeLines="50" w:line="360" w:lineRule="auto"/>
        <w:rPr>
          <w:rFonts w:ascii="Times New Roman" w:hAnsi="Times New Roman"/>
          <w:sz w:val="28"/>
          <w:szCs w:val="28"/>
          <w:lang w:val="en-GB"/>
        </w:rPr>
      </w:pPr>
      <w:r>
        <w:rPr>
          <w:rFonts w:ascii="Times New Roman" w:hAnsi="Times New Roman"/>
          <w:sz w:val="28"/>
          <w:szCs w:val="28"/>
          <w:lang w:val="en-GB"/>
        </w:rPr>
        <w:t>Dissertation defence will be held in the 5</w:t>
      </w:r>
      <w:r>
        <w:rPr>
          <w:rFonts w:ascii="Times New Roman" w:hAnsi="Times New Roman"/>
          <w:sz w:val="28"/>
          <w:szCs w:val="28"/>
          <w:vertAlign w:val="superscript"/>
          <w:lang w:val="en-GB"/>
        </w:rPr>
        <w:t>th</w:t>
      </w:r>
      <w:r>
        <w:rPr>
          <w:rFonts w:ascii="Times New Roman" w:hAnsi="Times New Roman"/>
          <w:sz w:val="28"/>
          <w:szCs w:val="28"/>
          <w:lang w:val="en-GB"/>
        </w:rPr>
        <w:t xml:space="preserve"> semester. The college will organize a defence committee composed of three academic experts with associate professor or above titles. The results of dissertation defence will be decided through the secret ballot. Students who get 2/3 votes will pass the dissertation defence and to be recommend to get the master’s degree award. If not, students could modify their dissertations and apply for the dissertation defence again within one year. </w:t>
      </w:r>
    </w:p>
    <w:p>
      <w:pPr>
        <w:spacing w:before="156" w:beforeLines="50" w:line="360" w:lineRule="auto"/>
        <w:rPr>
          <w:rFonts w:ascii="Times New Roman" w:hAnsi="Times New Roman"/>
          <w:sz w:val="28"/>
          <w:szCs w:val="28"/>
          <w:lang w:val="en-GB"/>
        </w:rPr>
      </w:pPr>
      <w:r>
        <w:rPr>
          <w:rFonts w:ascii="Times New Roman" w:hAnsi="Times New Roman"/>
          <w:b/>
          <w:sz w:val="28"/>
          <w:szCs w:val="28"/>
          <w:lang w:val="en-GB"/>
        </w:rPr>
        <w:t>Note</w:t>
      </w:r>
      <w:r>
        <w:rPr>
          <w:rFonts w:ascii="Times New Roman" w:hAnsi="Times New Roman"/>
          <w:sz w:val="28"/>
          <w:szCs w:val="28"/>
          <w:lang w:val="en-GB"/>
        </w:rPr>
        <w:t>: students who have passed the dissertation defence should submit dissertation and degree application materials on time</w:t>
      </w:r>
    </w:p>
    <w:p>
      <w:pPr>
        <w:pStyle w:val="15"/>
        <w:numPr>
          <w:ilvl w:val="0"/>
          <w:numId w:val="3"/>
        </w:numPr>
        <w:spacing w:before="156" w:beforeLines="50" w:line="360" w:lineRule="auto"/>
        <w:ind w:firstLineChars="0"/>
        <w:rPr>
          <w:rFonts w:ascii="Times New Roman" w:hAnsi="Times New Roman"/>
          <w:b/>
          <w:sz w:val="28"/>
          <w:szCs w:val="28"/>
          <w:lang w:val="en-GB"/>
        </w:rPr>
      </w:pPr>
      <w:r>
        <w:rPr>
          <w:rFonts w:ascii="Times New Roman" w:hAnsi="Times New Roman"/>
          <w:b/>
          <w:sz w:val="28"/>
          <w:szCs w:val="28"/>
          <w:lang w:val="en-GB"/>
        </w:rPr>
        <w:t>Academic Degree Auditing and Academic Certificate Acquisition</w:t>
      </w:r>
    </w:p>
    <w:p>
      <w:pPr>
        <w:spacing w:before="156" w:beforeLines="50" w:line="360" w:lineRule="auto"/>
        <w:rPr>
          <w:rFonts w:ascii="Times New Roman" w:hAnsi="Times New Roman"/>
          <w:sz w:val="28"/>
          <w:szCs w:val="24"/>
          <w:lang w:val="en-GB"/>
        </w:rPr>
      </w:pPr>
      <w:r>
        <w:rPr>
          <w:rFonts w:ascii="Times New Roman" w:hAnsi="Times New Roman"/>
          <w:sz w:val="28"/>
          <w:szCs w:val="24"/>
          <w:lang w:val="en-GB"/>
        </w:rPr>
        <w:t xml:space="preserve">The subject and academic degree assessment sub-committee will review the quality of dissertation, defence procedure, academic paper publishing status, and then make decision on awarding the master degree by the secret ballot. Academic degrees meetings are regularly held in March, June, September and December. </w:t>
      </w:r>
    </w:p>
    <w:p>
      <w:pPr>
        <w:spacing w:before="156" w:beforeLines="50" w:line="360" w:lineRule="auto"/>
        <w:rPr>
          <w:rFonts w:ascii="Times New Roman" w:hAnsi="Times New Roman"/>
          <w:sz w:val="28"/>
          <w:szCs w:val="28"/>
          <w:lang w:val="en-GB"/>
        </w:rPr>
      </w:pPr>
      <w:r>
        <w:rPr>
          <w:rFonts w:ascii="Times New Roman" w:hAnsi="Times New Roman"/>
          <w:sz w:val="28"/>
          <w:szCs w:val="28"/>
          <w:lang w:val="en-GB"/>
        </w:rPr>
        <w:t xml:space="preserve">Certificate of Master Degree and Certificate of Graduation are available to get in Teaching Administration Office. Please log into </w:t>
      </w:r>
      <w:r>
        <w:fldChar w:fldCharType="begin"/>
      </w:r>
      <w:r>
        <w:instrText xml:space="preserve"> HYPERLINK "http://lixiao.sjtu.edu.cn" </w:instrText>
      </w:r>
      <w:r>
        <w:fldChar w:fldCharType="separate"/>
      </w:r>
      <w:r>
        <w:rPr>
          <w:rStyle w:val="11"/>
          <w:rFonts w:ascii="Times New Roman" w:hAnsi="Times New Roman" w:cstheme="minorBidi"/>
          <w:sz w:val="28"/>
          <w:szCs w:val="28"/>
          <w:lang w:val="en-GB"/>
        </w:rPr>
        <w:t>http://lixiao.sjtu.edu.cn</w:t>
      </w:r>
      <w:r>
        <w:rPr>
          <w:rStyle w:val="11"/>
          <w:rFonts w:ascii="Times New Roman" w:hAnsi="Times New Roman" w:cstheme="minorBidi"/>
          <w:sz w:val="28"/>
          <w:szCs w:val="28"/>
          <w:lang w:val="en-GB"/>
        </w:rPr>
        <w:fldChar w:fldCharType="end"/>
      </w:r>
      <w:r>
        <w:rPr>
          <w:rFonts w:ascii="Times New Roman" w:hAnsi="Times New Roman"/>
          <w:sz w:val="28"/>
          <w:szCs w:val="28"/>
          <w:lang w:val="en-GB"/>
        </w:rPr>
        <w:t xml:space="preserve"> to ensure all necessary leaving procedures are done before you leave the school.</w:t>
      </w:r>
    </w:p>
    <w:p>
      <w:pPr>
        <w:spacing w:before="156" w:beforeLines="50" w:line="360" w:lineRule="auto"/>
        <w:rPr>
          <w:rStyle w:val="11"/>
          <w:sz w:val="24"/>
          <w:szCs w:val="24"/>
        </w:rPr>
      </w:pPr>
      <w:r>
        <w:rPr>
          <w:rFonts w:ascii="Times New Roman" w:hAnsi="Times New Roman"/>
          <w:b/>
          <w:sz w:val="28"/>
          <w:szCs w:val="28"/>
          <w:lang w:val="en-GB"/>
        </w:rPr>
        <w:t xml:space="preserve">Note: </w:t>
      </w:r>
      <w:r>
        <w:rPr>
          <w:rFonts w:ascii="Times New Roman" w:hAnsi="Times New Roman"/>
          <w:sz w:val="28"/>
          <w:szCs w:val="24"/>
          <w:lang w:val="en-GB"/>
        </w:rPr>
        <w:t xml:space="preserve">Master students should actively engage in academic activities, and meanwhile, abide by the relevant laws and regulations, academic ethics and standards. Details relative to academic norms please see </w:t>
      </w:r>
      <w:r>
        <w:rPr>
          <w:rFonts w:ascii="Times New Roman" w:hAnsi="Times New Roman"/>
          <w:i/>
          <w:sz w:val="28"/>
          <w:szCs w:val="24"/>
          <w:lang w:val="en-GB"/>
        </w:rPr>
        <w:t>Academic Norms for Graduates in SJTU</w:t>
      </w:r>
      <w:r>
        <w:rPr>
          <w:rFonts w:ascii="Times New Roman" w:hAnsi="Times New Roman"/>
          <w:sz w:val="28"/>
          <w:szCs w:val="24"/>
          <w:lang w:val="en-GB"/>
        </w:rPr>
        <w:t xml:space="preserve">. </w:t>
      </w:r>
      <w:r>
        <w:fldChar w:fldCharType="begin"/>
      </w:r>
      <w:r>
        <w:instrText xml:space="preserve"> HYPERLINK "http://www.gs.sjtu.edu.cn/policy/fileShow.ahtml?id=66" </w:instrText>
      </w:r>
      <w:r>
        <w:fldChar w:fldCharType="separate"/>
      </w:r>
      <w:r>
        <w:rPr>
          <w:rStyle w:val="11"/>
          <w:sz w:val="24"/>
          <w:szCs w:val="24"/>
          <w:lang w:val="en-GB"/>
        </w:rPr>
        <w:t>http://www.gs.sjtu.edu.cn/policy/fileShow.ahtml?id=66</w:t>
      </w:r>
      <w:r>
        <w:rPr>
          <w:rStyle w:val="11"/>
          <w:sz w:val="24"/>
          <w:szCs w:val="24"/>
          <w:lang w:val="en-GB"/>
        </w:rPr>
        <w:fldChar w:fldCharType="end"/>
      </w:r>
    </w:p>
    <w:p>
      <w:pPr>
        <w:spacing w:before="156" w:beforeLines="50" w:line="360" w:lineRule="auto"/>
        <w:rPr>
          <w:rStyle w:val="11"/>
          <w:sz w:val="24"/>
          <w:szCs w:val="24"/>
          <w:lang w:val="en-GB"/>
        </w:rPr>
      </w:pPr>
    </w:p>
    <w:p>
      <w:pPr>
        <w:spacing w:before="156" w:beforeLines="50" w:line="360" w:lineRule="auto"/>
        <w:rPr>
          <w:rStyle w:val="11"/>
          <w:sz w:val="24"/>
          <w:szCs w:val="24"/>
          <w:lang w:val="en-GB"/>
        </w:rPr>
      </w:pPr>
    </w:p>
    <w:p>
      <w:pPr>
        <w:spacing w:before="156" w:beforeLines="50" w:line="360" w:lineRule="auto"/>
        <w:rPr>
          <w:rFonts w:ascii="Times New Roman" w:hAnsi="Times New Roman"/>
          <w:sz w:val="28"/>
        </w:rPr>
      </w:pPr>
    </w:p>
    <w:p>
      <w:pPr>
        <w:pStyle w:val="2"/>
        <w:rPr>
          <w:rFonts w:ascii="Times New Roman" w:hAnsi="Times New Roman" w:cs="Times New Roman"/>
          <w:sz w:val="32"/>
          <w:lang w:val="en-GB"/>
        </w:rPr>
      </w:pPr>
      <w:bookmarkStart w:id="36" w:name="_Toc521949292"/>
      <w:bookmarkStart w:id="37" w:name="_Toc522033852"/>
      <w:r>
        <w:rPr>
          <w:rFonts w:ascii="Times New Roman" w:hAnsi="Times New Roman" w:cs="Times New Roman"/>
          <w:sz w:val="32"/>
          <w:lang w:val="en-GB"/>
        </w:rPr>
        <w:t>Useful Websites</w:t>
      </w:r>
      <w:bookmarkEnd w:id="36"/>
      <w:bookmarkEnd w:id="37"/>
    </w:p>
    <w:p>
      <w:pPr>
        <w:rPr>
          <w:rFonts w:ascii="Times New Roman" w:hAnsi="Times New Roman" w:cs="Times New Roman"/>
          <w:sz w:val="28"/>
          <w:lang w:val="en-GB"/>
        </w:rPr>
      </w:pPr>
      <w:bookmarkStart w:id="38" w:name="_Toc521949293"/>
      <w:r>
        <w:rPr>
          <w:rFonts w:ascii="Times New Roman" w:hAnsi="Times New Roman" w:cs="Times New Roman"/>
          <w:sz w:val="28"/>
          <w:lang w:val="en-GB"/>
        </w:rPr>
        <w:t>China-UK Low Carbon College</w:t>
      </w:r>
    </w:p>
    <w:p>
      <w:pPr>
        <w:rPr>
          <w:rStyle w:val="11"/>
          <w:rFonts w:ascii="Times New Roman" w:hAnsi="Times New Roman"/>
          <w:sz w:val="28"/>
          <w:lang w:val="en-GB"/>
        </w:rPr>
      </w:pPr>
      <w:r>
        <w:rPr>
          <w:rStyle w:val="11"/>
          <w:rFonts w:ascii="Times New Roman" w:hAnsi="Times New Roman"/>
          <w:sz w:val="28"/>
        </w:rPr>
        <w:t>http://lcc.sjtu.edu.cn/En/Default</w:t>
      </w:r>
    </w:p>
    <w:p>
      <w:pPr>
        <w:rPr>
          <w:rFonts w:ascii="Times New Roman" w:hAnsi="Times New Roman" w:cs="Times New Roman"/>
          <w:sz w:val="28"/>
          <w:lang w:val="en-GB"/>
        </w:rPr>
      </w:pPr>
      <w:r>
        <w:rPr>
          <w:rFonts w:ascii="Times New Roman" w:hAnsi="Times New Roman" w:cs="Times New Roman"/>
          <w:sz w:val="28"/>
          <w:lang w:val="en-GB"/>
        </w:rPr>
        <w:t>Graduate School, Shanghai Jiao Tong University</w:t>
      </w:r>
    </w:p>
    <w:p>
      <w:pPr>
        <w:rPr>
          <w:rFonts w:ascii="Times New Roman" w:hAnsi="Times New Roman" w:cs="Times New Roman"/>
          <w:sz w:val="28"/>
          <w:lang w:val="en-GB"/>
        </w:rPr>
      </w:pPr>
      <w:r>
        <w:fldChar w:fldCharType="begin"/>
      </w:r>
      <w:r>
        <w:instrText xml:space="preserve"> HYPERLINK "http://en.gs.sjtu.edu.cn/" </w:instrText>
      </w:r>
      <w:r>
        <w:fldChar w:fldCharType="separate"/>
      </w:r>
      <w:r>
        <w:rPr>
          <w:rStyle w:val="11"/>
          <w:rFonts w:ascii="Times New Roman" w:hAnsi="Times New Roman"/>
          <w:sz w:val="28"/>
          <w:lang w:val="en-GB"/>
        </w:rPr>
        <w:t>http://en.gs.sjtu.edu.cn/</w:t>
      </w:r>
      <w:r>
        <w:rPr>
          <w:rStyle w:val="11"/>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 xml:space="preserve">International Affairs Division </w:t>
      </w:r>
    </w:p>
    <w:p>
      <w:pPr>
        <w:rPr>
          <w:rStyle w:val="11"/>
          <w:sz w:val="28"/>
          <w:lang w:val="en-GB"/>
        </w:rPr>
      </w:pPr>
      <w:r>
        <w:rPr>
          <w:rStyle w:val="11"/>
          <w:rFonts w:ascii="Times New Roman" w:hAnsi="Times New Roman"/>
          <w:sz w:val="28"/>
          <w:lang w:val="en-GB"/>
        </w:rPr>
        <w:t>http://global.sjtu.edu.cn/home/indexEn</w:t>
      </w:r>
    </w:p>
    <w:p>
      <w:pPr>
        <w:rPr>
          <w:rFonts w:ascii="Times New Roman" w:hAnsi="Times New Roman" w:cs="Times New Roman"/>
          <w:sz w:val="28"/>
          <w:lang w:val="en-GB"/>
        </w:rPr>
      </w:pPr>
      <w:r>
        <w:rPr>
          <w:rFonts w:ascii="Times New Roman" w:hAnsi="Times New Roman" w:cs="Times New Roman"/>
          <w:sz w:val="28"/>
          <w:lang w:val="en-GB"/>
        </w:rPr>
        <w:t>Student Employment Services&amp; Career Development Centre</w:t>
      </w:r>
    </w:p>
    <w:p>
      <w:pPr>
        <w:rPr>
          <w:rStyle w:val="11"/>
          <w:rFonts w:ascii="Times New Roman" w:hAnsi="Times New Roman"/>
          <w:sz w:val="28"/>
          <w:lang w:val="en-GB"/>
        </w:rPr>
      </w:pPr>
      <w:r>
        <w:fldChar w:fldCharType="begin"/>
      </w:r>
      <w:r>
        <w:instrText xml:space="preserve"> HYPERLINK "http://scc.sjtu.edu.cn/" </w:instrText>
      </w:r>
      <w:r>
        <w:fldChar w:fldCharType="separate"/>
      </w:r>
      <w:r>
        <w:rPr>
          <w:rStyle w:val="11"/>
          <w:rFonts w:ascii="Times New Roman" w:hAnsi="Times New Roman"/>
          <w:sz w:val="28"/>
          <w:lang w:val="en-GB"/>
        </w:rPr>
        <w:t>http://scc.sjtu.edu.cn/</w:t>
      </w:r>
      <w:r>
        <w:rPr>
          <w:rStyle w:val="11"/>
          <w:rFonts w:ascii="Times New Roman" w:hAnsi="Times New Roman"/>
          <w:sz w:val="28"/>
          <w:lang w:val="en-GB"/>
        </w:rPr>
        <w:fldChar w:fldCharType="end"/>
      </w:r>
    </w:p>
    <w:p>
      <w:pPr>
        <w:rPr>
          <w:rFonts w:ascii="Times New Roman" w:hAnsi="Times New Roman" w:cs="Times New Roman"/>
          <w:sz w:val="28"/>
          <w:lang w:val="en-GB"/>
        </w:rPr>
      </w:pPr>
      <w:r>
        <w:rPr>
          <w:rFonts w:ascii="Times New Roman" w:hAnsi="Times New Roman" w:cs="Times New Roman"/>
          <w:sz w:val="28"/>
          <w:lang w:val="en-GB"/>
        </w:rPr>
        <w:t>School of Mechnical Engineering</w:t>
      </w:r>
    </w:p>
    <w:p>
      <w:pPr>
        <w:rPr>
          <w:rStyle w:val="11"/>
          <w:rFonts w:ascii="Times New Roman" w:hAnsi="Times New Roman"/>
          <w:sz w:val="28"/>
          <w:lang w:val="en-GB"/>
        </w:rPr>
      </w:pPr>
      <w:r>
        <w:rPr>
          <w:rStyle w:val="11"/>
          <w:rFonts w:ascii="Times New Roman" w:hAnsi="Times New Roman"/>
          <w:sz w:val="28"/>
          <w:lang w:val="en-GB"/>
        </w:rPr>
        <w:t>http://me.sjtu.edu.cn/</w:t>
      </w:r>
    </w:p>
    <w:p>
      <w:pPr>
        <w:pStyle w:val="2"/>
        <w:rPr>
          <w:sz w:val="32"/>
        </w:rPr>
      </w:pPr>
      <w:bookmarkStart w:id="39" w:name="_Toc522033853"/>
      <w:r>
        <w:rPr>
          <w:rFonts w:ascii="Times New Roman" w:hAnsi="Times New Roman" w:cs="Times New Roman"/>
          <w:sz w:val="32"/>
          <w:lang w:val="en-GB"/>
        </w:rPr>
        <w:t>Contact</w:t>
      </w:r>
      <w:bookmarkEnd w:id="38"/>
      <w:bookmarkEnd w:id="39"/>
    </w:p>
    <w:p>
      <w:pPr>
        <w:rPr>
          <w:rFonts w:ascii="Times New Roman" w:hAnsi="Times New Roman" w:cs="Times New Roman"/>
          <w:b/>
          <w:sz w:val="22"/>
          <w:lang w:val="en-GB"/>
        </w:rPr>
      </w:pPr>
      <w:r>
        <w:rPr>
          <w:rFonts w:ascii="Times New Roman" w:hAnsi="Times New Roman" w:cs="Times New Roman"/>
          <w:b/>
          <w:color w:val="000000"/>
          <w:kern w:val="0"/>
          <w:sz w:val="28"/>
          <w:lang w:val="en-GB"/>
        </w:rPr>
        <w:t>Teaching Administration Office</w:t>
      </w:r>
    </w:p>
    <w:p>
      <w:pPr>
        <w:rPr>
          <w:rFonts w:ascii="Times New Roman" w:hAnsi="Times New Roman" w:cs="Times New Roman"/>
          <w:sz w:val="28"/>
          <w:lang w:val="en-GB"/>
        </w:rPr>
      </w:pPr>
      <w:r>
        <w:rPr>
          <w:rFonts w:ascii="Times New Roman" w:hAnsi="Times New Roman" w:cs="Times New Roman"/>
          <w:sz w:val="28"/>
          <w:lang w:val="en-GB"/>
        </w:rPr>
        <w:t>Fu Yilai</w:t>
      </w:r>
    </w:p>
    <w:p>
      <w:pPr>
        <w:rPr>
          <w:rFonts w:ascii="Times New Roman" w:hAnsi="Times New Roman" w:cs="Times New Roman"/>
          <w:sz w:val="28"/>
          <w:lang w:val="en-GB"/>
        </w:rPr>
      </w:pPr>
      <w:r>
        <w:rPr>
          <w:rFonts w:ascii="Times New Roman" w:hAnsi="Times New Roman" w:cs="Times New Roman"/>
          <w:sz w:val="28"/>
          <w:lang w:val="en-GB"/>
        </w:rPr>
        <w:t>Tel: 021-80160861</w:t>
      </w:r>
    </w:p>
    <w:p>
      <w:pPr>
        <w:rPr>
          <w:rStyle w:val="11"/>
          <w:rFonts w:ascii="Times New Roman" w:hAnsi="Times New Roman"/>
          <w:sz w:val="28"/>
          <w:lang w:val="en-GB"/>
        </w:rPr>
      </w:pPr>
      <w:r>
        <w:rPr>
          <w:rFonts w:ascii="Times New Roman" w:hAnsi="Times New Roman" w:cs="Times New Roman"/>
          <w:sz w:val="28"/>
          <w:lang w:val="en-GB"/>
        </w:rPr>
        <w:t xml:space="preserve">Email: </w:t>
      </w:r>
      <w:r>
        <w:fldChar w:fldCharType="begin"/>
      </w:r>
      <w:r>
        <w:instrText xml:space="preserve"> HYPERLINK "mailto:fuyilai@sjtu.edu.cn" </w:instrText>
      </w:r>
      <w:r>
        <w:fldChar w:fldCharType="separate"/>
      </w:r>
      <w:r>
        <w:rPr>
          <w:rStyle w:val="11"/>
          <w:rFonts w:ascii="Times New Roman" w:hAnsi="Times New Roman"/>
          <w:sz w:val="28"/>
          <w:lang w:val="en-GB"/>
        </w:rPr>
        <w:t>fuyilai@sjtu.edu.cn</w:t>
      </w:r>
      <w:r>
        <w:rPr>
          <w:rStyle w:val="11"/>
          <w:rFonts w:ascii="Times New Roman" w:hAnsi="Times New Roman"/>
          <w:sz w:val="28"/>
          <w:lang w:val="en-GB"/>
        </w:rPr>
        <w:fldChar w:fldCharType="end"/>
      </w:r>
    </w:p>
    <w:p>
      <w:pPr>
        <w:rPr>
          <w:rStyle w:val="11"/>
          <w:rFonts w:ascii="Times New Roman" w:hAnsi="Times New Roman"/>
          <w:sz w:val="28"/>
          <w:lang w:val="en-GB"/>
        </w:rPr>
      </w:pPr>
      <w:r>
        <w:rPr>
          <w:rStyle w:val="11"/>
          <w:rFonts w:ascii="Times New Roman" w:hAnsi="Times New Roman"/>
          <w:sz w:val="28"/>
          <w:lang w:val="en-GB"/>
        </w:rPr>
        <w:t>Shi Qing</w:t>
      </w:r>
    </w:p>
    <w:p>
      <w:pPr>
        <w:rPr>
          <w:rFonts w:ascii="Times New Roman" w:hAnsi="Times New Roman" w:cs="Times New Roman"/>
          <w:sz w:val="28"/>
          <w:lang w:val="en-GB"/>
        </w:rPr>
      </w:pPr>
      <w:r>
        <w:rPr>
          <w:rFonts w:ascii="Times New Roman" w:hAnsi="Times New Roman" w:cs="Times New Roman"/>
          <w:sz w:val="28"/>
          <w:lang w:val="en-GB"/>
        </w:rPr>
        <w:t>Tel: 021-80160861</w:t>
      </w:r>
    </w:p>
    <w:p>
      <w:pPr>
        <w:rPr>
          <w:rStyle w:val="11"/>
          <w:rFonts w:ascii="Times New Roman" w:hAnsi="Times New Roman"/>
          <w:sz w:val="28"/>
          <w:lang w:val="en-GB"/>
        </w:rPr>
      </w:pPr>
      <w:r>
        <w:rPr>
          <w:rFonts w:ascii="Times New Roman" w:hAnsi="Times New Roman" w:cs="Times New Roman"/>
          <w:sz w:val="28"/>
          <w:lang w:val="en-GB"/>
        </w:rPr>
        <w:t>Email: shiqing@sjtu.edu.cn</w:t>
      </w:r>
    </w:p>
    <w:p>
      <w:pPr>
        <w:rPr>
          <w:rFonts w:ascii="Times New Roman" w:hAnsi="Times New Roman" w:cs="Times New Roman"/>
          <w:b/>
          <w:color w:val="000000"/>
          <w:kern w:val="0"/>
          <w:sz w:val="28"/>
          <w:lang w:val="en-GB"/>
        </w:rPr>
      </w:pPr>
      <w:r>
        <w:rPr>
          <w:rFonts w:ascii="Times New Roman" w:hAnsi="Times New Roman" w:cs="Times New Roman"/>
          <w:b/>
          <w:color w:val="000000"/>
          <w:kern w:val="0"/>
          <w:sz w:val="28"/>
          <w:lang w:val="en-GB"/>
        </w:rPr>
        <w:t>Student Office</w:t>
      </w:r>
    </w:p>
    <w:p>
      <w:pPr>
        <w:rPr>
          <w:rFonts w:ascii="Times New Roman" w:hAnsi="Times New Roman" w:cs="Times New Roman"/>
          <w:sz w:val="28"/>
          <w:lang w:val="en-GB"/>
        </w:rPr>
      </w:pPr>
      <w:r>
        <w:rPr>
          <w:rFonts w:ascii="Times New Roman" w:hAnsi="Times New Roman" w:cs="Times New Roman"/>
          <w:sz w:val="28"/>
          <w:lang w:val="en-GB"/>
        </w:rPr>
        <w:t xml:space="preserve">Zhang Ying </w:t>
      </w:r>
    </w:p>
    <w:p>
      <w:pPr>
        <w:rPr>
          <w:rFonts w:ascii="Times New Roman" w:hAnsi="Times New Roman" w:cs="Times New Roman"/>
          <w:sz w:val="28"/>
          <w:lang w:val="en-GB"/>
        </w:rPr>
      </w:pPr>
      <w:r>
        <w:rPr>
          <w:rFonts w:ascii="Times New Roman" w:hAnsi="Times New Roman" w:cs="Times New Roman"/>
          <w:sz w:val="28"/>
          <w:lang w:val="en-GB"/>
        </w:rPr>
        <w:t>Tel: TBD</w:t>
      </w:r>
    </w:p>
    <w:p>
      <w:pPr>
        <w:rPr>
          <w:rFonts w:ascii="Times New Roman" w:hAnsi="Times New Roman" w:cs="Times New Roman"/>
          <w:sz w:val="28"/>
          <w:lang w:val="en-GB"/>
        </w:rPr>
      </w:pPr>
      <w:r>
        <w:rPr>
          <w:rFonts w:ascii="Times New Roman" w:hAnsi="Times New Roman" w:cs="Times New Roman"/>
          <w:sz w:val="28"/>
          <w:lang w:val="en-GB"/>
        </w:rPr>
        <w:t xml:space="preserve">Email: </w:t>
      </w:r>
      <w:r>
        <w:fldChar w:fldCharType="begin"/>
      </w:r>
      <w:r>
        <w:instrText xml:space="preserve"> HYPERLINK "mailto:azure@sjtu.edu.cn" </w:instrText>
      </w:r>
      <w:r>
        <w:fldChar w:fldCharType="separate"/>
      </w:r>
      <w:r>
        <w:rPr>
          <w:rStyle w:val="11"/>
          <w:rFonts w:ascii="Times New Roman" w:hAnsi="Times New Roman"/>
          <w:sz w:val="28"/>
          <w:lang w:val="en-GB"/>
        </w:rPr>
        <w:t>azure@sjtu.edu.cn</w:t>
      </w:r>
      <w:r>
        <w:rPr>
          <w:rStyle w:val="11"/>
          <w:rFonts w:ascii="Times New Roman" w:hAnsi="Times New Roman"/>
          <w:sz w:val="28"/>
          <w:lang w:val="en-GB"/>
        </w:rPr>
        <w:fldChar w:fldCharType="end"/>
      </w:r>
      <w:r>
        <w:rPr>
          <w:rFonts w:ascii="Times New Roman" w:hAnsi="Times New Roman" w:cs="Times New Roman"/>
          <w:sz w:val="28"/>
          <w:lang w:val="en-GB"/>
        </w:rPr>
        <w:t xml:space="preserve"> </w:t>
      </w: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361789"/>
      <w:docPartObj>
        <w:docPartGallery w:val="AutoText"/>
      </w:docPartObj>
    </w:sdtPr>
    <w:sdtContent>
      <w:p>
        <w:pPr>
          <w:pStyle w:val="4"/>
          <w:jc w:val="right"/>
        </w:pPr>
        <w:r>
          <w:fldChar w:fldCharType="begin"/>
        </w:r>
        <w:r>
          <w:instrText xml:space="preserve">PAGE   \* MERGEFORMAT</w:instrText>
        </w:r>
        <w:r>
          <w:fldChar w:fldCharType="separate"/>
        </w:r>
        <w:r>
          <w:rPr>
            <w:lang w:val="zh-CN"/>
          </w:rPr>
          <w:t>17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rPr>
      <w:t>201</w:t>
    </w:r>
    <w:r>
      <w:t>9</w:t>
    </w:r>
    <w:r>
      <w:rPr>
        <w:rFonts w:hint="eastAsia"/>
      </w:rPr>
      <w:t xml:space="preserve"> Power Engineering</w:t>
    </w:r>
    <w:r>
      <w:t xml:space="preserve"> </w:t>
    </w:r>
    <w:r>
      <w:rPr>
        <w:rFonts w:hint="eastAsia"/>
      </w:rPr>
      <w:t>(Low</w:t>
    </w:r>
    <w:r>
      <w:t xml:space="preserve"> Carbon Energy</w:t>
    </w:r>
    <w:r>
      <w:rPr>
        <w:rFonts w:hint="eastAsia"/>
      </w:rPr>
      <w:t>) Ac</w:t>
    </w:r>
    <w:r>
      <w:t>a</w:t>
    </w:r>
    <w:r>
      <w:rPr>
        <w:rFonts w:hint="eastAsia"/>
      </w:rPr>
      <w:t xml:space="preserve">demic </w:t>
    </w:r>
    <w:r>
      <w:t>Guideline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028825" cy="443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5076" cy="4626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5C0"/>
    <w:multiLevelType w:val="multilevel"/>
    <w:tmpl w:val="002425C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5B20ADE"/>
    <w:multiLevelType w:val="multilevel"/>
    <w:tmpl w:val="15B20A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F273C9"/>
    <w:multiLevelType w:val="multilevel"/>
    <w:tmpl w:val="25F273C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2171DB"/>
    <w:multiLevelType w:val="multilevel"/>
    <w:tmpl w:val="26217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1367414"/>
    <w:multiLevelType w:val="multilevel"/>
    <w:tmpl w:val="413674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616962"/>
    <w:multiLevelType w:val="multilevel"/>
    <w:tmpl w:val="5B61696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61D90189"/>
    <w:multiLevelType w:val="multilevel"/>
    <w:tmpl w:val="61D901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7A3300"/>
    <w:multiLevelType w:val="multilevel"/>
    <w:tmpl w:val="627A3300"/>
    <w:lvl w:ilvl="0" w:tentative="0">
      <w:start w:val="1"/>
      <w:numFmt w:val="lowerRoman"/>
      <w:lvlText w:val="%1."/>
      <w:lvlJc w:val="righ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43D0E1A"/>
    <w:multiLevelType w:val="multilevel"/>
    <w:tmpl w:val="743D0E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01"/>
    <w:rsid w:val="000403CC"/>
    <w:rsid w:val="00053778"/>
    <w:rsid w:val="000B7127"/>
    <w:rsid w:val="000E03BF"/>
    <w:rsid w:val="001952E6"/>
    <w:rsid w:val="001A3276"/>
    <w:rsid w:val="001D1D60"/>
    <w:rsid w:val="001D2C37"/>
    <w:rsid w:val="00205E9B"/>
    <w:rsid w:val="00207129"/>
    <w:rsid w:val="00256347"/>
    <w:rsid w:val="00286844"/>
    <w:rsid w:val="002962DB"/>
    <w:rsid w:val="002F5B5E"/>
    <w:rsid w:val="00334EFF"/>
    <w:rsid w:val="003447DB"/>
    <w:rsid w:val="003512F7"/>
    <w:rsid w:val="003829EC"/>
    <w:rsid w:val="003D610E"/>
    <w:rsid w:val="00422B29"/>
    <w:rsid w:val="00444DE6"/>
    <w:rsid w:val="00472CD4"/>
    <w:rsid w:val="004840F4"/>
    <w:rsid w:val="0049630C"/>
    <w:rsid w:val="004D0814"/>
    <w:rsid w:val="00536C13"/>
    <w:rsid w:val="0055100B"/>
    <w:rsid w:val="005A6DE3"/>
    <w:rsid w:val="00610CF8"/>
    <w:rsid w:val="00623FA9"/>
    <w:rsid w:val="0064775B"/>
    <w:rsid w:val="006810F0"/>
    <w:rsid w:val="00690B01"/>
    <w:rsid w:val="006B3D02"/>
    <w:rsid w:val="00752F2E"/>
    <w:rsid w:val="00766A56"/>
    <w:rsid w:val="00770594"/>
    <w:rsid w:val="007C2420"/>
    <w:rsid w:val="007C4FB5"/>
    <w:rsid w:val="007C5389"/>
    <w:rsid w:val="0081494F"/>
    <w:rsid w:val="00823CBA"/>
    <w:rsid w:val="008563CF"/>
    <w:rsid w:val="008B2E8D"/>
    <w:rsid w:val="008C69E6"/>
    <w:rsid w:val="008F1428"/>
    <w:rsid w:val="009044F8"/>
    <w:rsid w:val="0092387B"/>
    <w:rsid w:val="009810C3"/>
    <w:rsid w:val="00986E3E"/>
    <w:rsid w:val="00990A49"/>
    <w:rsid w:val="009C56E4"/>
    <w:rsid w:val="009D78F6"/>
    <w:rsid w:val="009F5BC3"/>
    <w:rsid w:val="00A3270C"/>
    <w:rsid w:val="00AC6F24"/>
    <w:rsid w:val="00B01CF7"/>
    <w:rsid w:val="00B3011D"/>
    <w:rsid w:val="00B9141E"/>
    <w:rsid w:val="00BD451D"/>
    <w:rsid w:val="00C07DB6"/>
    <w:rsid w:val="00C42E01"/>
    <w:rsid w:val="00C53087"/>
    <w:rsid w:val="00CA56BB"/>
    <w:rsid w:val="00CC7C82"/>
    <w:rsid w:val="00CD5D6A"/>
    <w:rsid w:val="00CD75E2"/>
    <w:rsid w:val="00D00FFF"/>
    <w:rsid w:val="00D04F0B"/>
    <w:rsid w:val="00D14BE3"/>
    <w:rsid w:val="00D2270D"/>
    <w:rsid w:val="00D33694"/>
    <w:rsid w:val="00E104CB"/>
    <w:rsid w:val="00E34C2F"/>
    <w:rsid w:val="00E720F8"/>
    <w:rsid w:val="00EB7F38"/>
    <w:rsid w:val="00F005AC"/>
    <w:rsid w:val="00F30B9C"/>
    <w:rsid w:val="00F6245C"/>
    <w:rsid w:val="00FA31B4"/>
    <w:rsid w:val="00FF12DA"/>
    <w:rsid w:val="31234378"/>
    <w:rsid w:val="74F7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3"/>
    <w:semiHidden/>
    <w:unhideWhenUsed/>
    <w:uiPriority w:val="99"/>
    <w:rPr>
      <w:rFonts w:ascii="宋体" w:eastAsia="宋体"/>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uiPriority w:val="99"/>
    <w:rPr>
      <w:rFonts w:cs="Times New Roman"/>
      <w:color w:val="0000FF"/>
      <w:u w:val="single"/>
    </w:rPr>
  </w:style>
  <w:style w:type="character" w:customStyle="1" w:styleId="12">
    <w:name w:val="标题 1 字符"/>
    <w:basedOn w:val="9"/>
    <w:link w:val="2"/>
    <w:uiPriority w:val="9"/>
    <w:rPr>
      <w:b/>
      <w:bCs/>
      <w:kern w:val="44"/>
      <w:sz w:val="44"/>
      <w:szCs w:val="44"/>
    </w:rPr>
  </w:style>
  <w:style w:type="character" w:customStyle="1" w:styleId="13">
    <w:name w:val="页眉 字符"/>
    <w:basedOn w:val="9"/>
    <w:link w:val="5"/>
    <w:uiPriority w:val="99"/>
    <w:rPr>
      <w:sz w:val="18"/>
      <w:szCs w:val="18"/>
    </w:rPr>
  </w:style>
  <w:style w:type="character" w:customStyle="1" w:styleId="14">
    <w:name w:val="页脚 字符"/>
    <w:basedOn w:val="9"/>
    <w:link w:val="4"/>
    <w:uiPriority w:val="99"/>
    <w:rPr>
      <w:sz w:val="18"/>
      <w:szCs w:val="18"/>
    </w:rPr>
  </w:style>
  <w:style w:type="paragraph" w:styleId="15">
    <w:name w:val="List Paragraph"/>
    <w:basedOn w:val="1"/>
    <w:qFormat/>
    <w:uiPriority w:val="34"/>
    <w:pPr>
      <w:ind w:firstLine="420" w:firstLineChars="200"/>
    </w:pPr>
    <w:rPr>
      <w:rFonts w:ascii="等线" w:hAnsi="等线" w:eastAsia="等线" w:cs="Times New Roman"/>
    </w:rPr>
  </w:style>
  <w:style w:type="paragraph" w:styleId="16">
    <w:name w:val="No Spacing"/>
    <w:link w:val="17"/>
    <w:qFormat/>
    <w:uiPriority w:val="1"/>
    <w:rPr>
      <w:rFonts w:asciiTheme="minorHAnsi" w:hAnsiTheme="minorHAnsi" w:eastAsiaTheme="minorEastAsia" w:cstheme="minorBidi"/>
      <w:kern w:val="0"/>
      <w:sz w:val="22"/>
      <w:szCs w:val="22"/>
      <w:lang w:val="en-US" w:eastAsia="zh-CN" w:bidi="ar-SA"/>
    </w:rPr>
  </w:style>
  <w:style w:type="character" w:customStyle="1" w:styleId="17">
    <w:name w:val="无间隔 字符"/>
    <w:basedOn w:val="9"/>
    <w:link w:val="16"/>
    <w:uiPriority w:val="1"/>
    <w:rPr>
      <w:kern w:val="0"/>
      <w:sz w:val="22"/>
    </w:rPr>
  </w:style>
  <w:style w:type="paragraph" w:customStyle="1" w:styleId="18">
    <w:name w:val="列出段落1"/>
    <w:basedOn w:val="1"/>
    <w:qFormat/>
    <w:uiPriority w:val="34"/>
    <w:pPr>
      <w:ind w:firstLine="420" w:firstLineChars="200"/>
    </w:pPr>
    <w:rPr>
      <w:rFonts w:ascii="Times New Roman" w:hAnsi="Times New Roman" w:eastAsia="宋体" w:cs="Times New Roman"/>
      <w:szCs w:val="21"/>
    </w:rPr>
  </w:style>
  <w:style w:type="table" w:customStyle="1" w:styleId="19">
    <w:name w:val="浅色网格1"/>
    <w:basedOn w:val="7"/>
    <w:uiPriority w:val="62"/>
    <w:rPr>
      <w:rFonts w:ascii="Times New Roman" w:hAnsi="Times New Roman" w:eastAsia="宋体" w:cs="Times New Roman"/>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blStylePr w:type="firstRow">
      <w:pPr>
        <w:spacing w:before="0" w:after="0" w:line="240" w:lineRule="auto"/>
      </w:pPr>
      <w:rPr>
        <w:rFonts w:ascii="Cambria" w:hAnsi="Cambria" w:eastAsia="宋体"/>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line="240" w:lineRule="auto"/>
      </w:pPr>
      <w:rPr>
        <w:rFonts w:ascii="Cambria" w:hAnsi="Cambria" w:eastAsia="宋体"/>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mbria" w:hAnsi="Cambria" w:eastAsia="宋体"/>
        <w:b/>
        <w:bCs/>
      </w:rPr>
    </w:tblStylePr>
    <w:tblStylePr w:type="lastCol">
      <w:rPr>
        <w:rFonts w:ascii="Cambria" w:hAnsi="Cambria" w:eastAsia="宋体"/>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keywords-mean"/>
    <w:basedOn w:val="9"/>
    <w:uiPriority w:val="0"/>
  </w:style>
  <w:style w:type="character" w:customStyle="1" w:styleId="22">
    <w:name w:val="short_text"/>
    <w:basedOn w:val="9"/>
    <w:uiPriority w:val="0"/>
  </w:style>
  <w:style w:type="character" w:customStyle="1" w:styleId="23">
    <w:name w:val="批注框文本 字符"/>
    <w:basedOn w:val="9"/>
    <w:link w:val="3"/>
    <w:semiHidden/>
    <w:uiPriority w:val="99"/>
    <w:rPr>
      <w:rFonts w:ascii="宋体" w:eastAsia="宋体"/>
      <w:sz w:val="18"/>
      <w:szCs w:val="18"/>
    </w:rPr>
  </w:style>
  <w:style w:type="paragraph" w:customStyle="1" w:styleId="2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E72267C0D84A07B317EE276B27C2EC"/>
        <w:style w:val=""/>
        <w:category>
          <w:name w:val="常规"/>
          <w:gallery w:val="placeholder"/>
        </w:category>
        <w:types>
          <w:type w:val="bbPlcHdr"/>
        </w:types>
        <w:behaviors>
          <w:behavior w:val="content"/>
        </w:behaviors>
        <w:description w:val=""/>
        <w:guid w:val="{537850DE-DD01-4790-B7F5-61BC530ABA7B}"/>
      </w:docPartPr>
      <w:docPartBody>
        <w:p>
          <w:pPr>
            <w:pStyle w:val="4"/>
          </w:pPr>
          <w:r>
            <w:rPr>
              <w:rFonts w:asciiTheme="majorHAnsi" w:hAnsiTheme="majorHAnsi" w:eastAsiaTheme="majorEastAsia" w:cstheme="majorBidi"/>
              <w:caps/>
              <w:color w:val="5B9BD5" w:themeColor="accent1"/>
              <w:sz w:val="80"/>
              <w:szCs w:val="80"/>
              <w:lang w:val="zh-CN"/>
              <w14:textFill>
                <w14:solidFill>
                  <w14:schemeClr w14:val="accent1"/>
                </w14:solidFill>
              </w14:textFill>
            </w:rPr>
            <w:t>[文档标题]</w:t>
          </w:r>
        </w:p>
      </w:docPartBody>
    </w:docPart>
    <w:docPart>
      <w:docPartPr>
        <w:name w:val="C61BE43958D246FFB1A24C4480118B2A"/>
        <w:style w:val=""/>
        <w:category>
          <w:name w:val="常规"/>
          <w:gallery w:val="placeholder"/>
        </w:category>
        <w:types>
          <w:type w:val="bbPlcHdr"/>
        </w:types>
        <w:behaviors>
          <w:behavior w:val="content"/>
        </w:behaviors>
        <w:description w:val=""/>
        <w:guid w:val="{130697D9-FE1C-43DD-A37E-6770D7ED438C}"/>
      </w:docPartPr>
      <w:docPartBody>
        <w:p>
          <w:pPr>
            <w:pStyle w:val="5"/>
          </w:pPr>
          <w:r>
            <w:rPr>
              <w:color w:val="5B9BD5" w:themeColor="accent1"/>
              <w:sz w:val="28"/>
              <w:szCs w:val="28"/>
              <w:lang w:val="zh-CN"/>
              <w14:textFill>
                <w14:solidFill>
                  <w14:schemeClr w14:val="accent1"/>
                </w14:solidFill>
              </w14:textFill>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C8"/>
    <w:rsid w:val="000C0080"/>
    <w:rsid w:val="001D3A97"/>
    <w:rsid w:val="00537034"/>
    <w:rsid w:val="005E0564"/>
    <w:rsid w:val="007473EF"/>
    <w:rsid w:val="00AE2B6B"/>
    <w:rsid w:val="00B37FC8"/>
    <w:rsid w:val="00DF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19E72267C0D84A07B317EE276B27C2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C61BE43958D246FFB1A24C4480118B2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2995</Words>
  <Characters>17078</Characters>
  <Lines>142</Lines>
  <Paragraphs>40</Paragraphs>
  <TotalTime>0</TotalTime>
  <ScaleCrop>false</ScaleCrop>
  <LinksUpToDate>false</LinksUpToDate>
  <CharactersWithSpaces>20033</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2018-08-14T10:17:00Z</dcterms:created>
  <dc:creator>LCC-004</dc:creator>
  <cp:lastModifiedBy>傅奕来</cp:lastModifiedBy>
  <dcterms:modified xsi:type="dcterms:W3CDTF">2019-08-12T15:57:08Z</dcterms:modified>
  <dc:subject>Power Engineering (Low Carbon Energy)</dc:subject>
  <dc:title>2019 MASTER STUDENT ACDEMIC GUIDELINE</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